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67295730" w:displacedByCustomXml="next"/>
    <w:sdt>
      <w:sdtPr>
        <w:id w:val="-561173516"/>
        <w:docPartObj>
          <w:docPartGallery w:val="Cover Pages"/>
          <w:docPartUnique/>
        </w:docPartObj>
      </w:sdtPr>
      <w:sdtEndPr>
        <w:rPr>
          <w:b/>
          <w:bCs/>
          <w:sz w:val="28"/>
          <w:szCs w:val="28"/>
        </w:rPr>
      </w:sdtEndPr>
      <w:sdtContent>
        <w:p w14:paraId="1C2E5B2E" w14:textId="362EE85D" w:rsidR="006B1D25" w:rsidRDefault="006B1D25">
          <w:r w:rsidRPr="00234EF2">
            <w:rPr>
              <w:noProof/>
              <w:lang w:val="fr-FR" w:eastAsia="fr-FR"/>
            </w:rPr>
            <w:drawing>
              <wp:anchor distT="0" distB="0" distL="114300" distR="114300" simplePos="0" relativeHeight="251670528" behindDoc="0" locked="0" layoutInCell="1" allowOverlap="1" wp14:anchorId="40950676" wp14:editId="7154D6B1">
                <wp:simplePos x="0" y="0"/>
                <wp:positionH relativeFrom="column">
                  <wp:posOffset>5480570</wp:posOffset>
                </wp:positionH>
                <wp:positionV relativeFrom="paragraph">
                  <wp:posOffset>-414020</wp:posOffset>
                </wp:positionV>
                <wp:extent cx="733425" cy="542675"/>
                <wp:effectExtent l="0" t="0" r="0" b="0"/>
                <wp:wrapNone/>
                <wp:docPr id="90"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rotWithShape="1">
                        <a:blip r:embed="rId8" cstate="hqprint">
                          <a:extLst>
                            <a:ext uri="{BEBA8EAE-BF5A-486C-A8C5-ECC9F3942E4B}">
                              <a14:imgProps xmlns:a14="http://schemas.microsoft.com/office/drawing/2010/main">
                                <a14:imgLayer r:embed="rId9">
                                  <a14:imgEffect>
                                    <a14:backgroundRemoval t="9043" b="89894" l="2660" r="93085">
                                      <a14:foregroundMark x1="38298" y1="41489" x2="38298" y2="41489"/>
                                      <a14:foregroundMark x1="37766" y1="34574" x2="38298" y2="44681"/>
                                      <a14:foregroundMark x1="50532" y1="34043" x2="50532" y2="46809"/>
                                      <a14:foregroundMark x1="31915" y1="34574" x2="31915" y2="40957"/>
                                      <a14:foregroundMark x1="22340" y1="44149" x2="22340" y2="30851"/>
                                      <a14:foregroundMark x1="87766" y1="46809" x2="83511" y2="37766"/>
                                      <a14:backgroundMark x1="10638" y1="39362" x2="10638" y2="39362"/>
                                    </a14:backgroundRemoval>
                                  </a14:imgEffect>
                                </a14:imgLayer>
                              </a14:imgProps>
                            </a:ext>
                            <a:ext uri="{28A0092B-C50C-407E-A947-70E740481C1C}">
                              <a14:useLocalDpi xmlns:a14="http://schemas.microsoft.com/office/drawing/2010/main" val="0"/>
                            </a:ext>
                          </a:extLst>
                        </a:blip>
                        <a:srcRect l="-1" t="7661" r="8842" b="29397"/>
                        <a:stretch/>
                      </pic:blipFill>
                      <pic:spPr bwMode="auto">
                        <a:xfrm>
                          <a:off x="0" y="0"/>
                          <a:ext cx="733425" cy="542675"/>
                        </a:xfrm>
                        <a:prstGeom prst="rect">
                          <a:avLst/>
                        </a:prstGeom>
                        <a:solidFill>
                          <a:srgbClr val="214998"/>
                        </a:solidFill>
                        <a:ln>
                          <a:noFill/>
                        </a:ln>
                      </pic:spPr>
                    </pic:pic>
                  </a:graphicData>
                </a:graphic>
                <wp14:sizeRelH relativeFrom="margin">
                  <wp14:pctWidth>0</wp14:pctWidth>
                </wp14:sizeRelH>
                <wp14:sizeRelV relativeFrom="margin">
                  <wp14:pctHeight>0</wp14:pctHeight>
                </wp14:sizeRelV>
              </wp:anchor>
            </w:drawing>
          </w:r>
          <w:r>
            <w:rPr>
              <w:rFonts w:ascii="Times" w:hAnsi="Times" w:cs="Times"/>
              <w:noProof/>
              <w:sz w:val="30"/>
              <w:szCs w:val="30"/>
              <w:lang w:val="fr-FR" w:eastAsia="fr-FR"/>
            </w:rPr>
            <mc:AlternateContent>
              <mc:Choice Requires="wps">
                <w:drawing>
                  <wp:anchor distT="0" distB="0" distL="114300" distR="114300" simplePos="0" relativeHeight="251668480" behindDoc="0" locked="1" layoutInCell="1" allowOverlap="1" wp14:anchorId="3756FE41" wp14:editId="69AEB9B8">
                    <wp:simplePos x="0" y="0"/>
                    <wp:positionH relativeFrom="margin">
                      <wp:posOffset>2453005</wp:posOffset>
                    </wp:positionH>
                    <wp:positionV relativeFrom="margin">
                      <wp:posOffset>490220</wp:posOffset>
                    </wp:positionV>
                    <wp:extent cx="3680460" cy="467360"/>
                    <wp:effectExtent l="0" t="0" r="0" b="8890"/>
                    <wp:wrapNone/>
                    <wp:docPr id="18" name="Text Box 7"/>
                    <wp:cNvGraphicFramePr/>
                    <a:graphic xmlns:a="http://schemas.openxmlformats.org/drawingml/2006/main">
                      <a:graphicData uri="http://schemas.microsoft.com/office/word/2010/wordprocessingShape">
                        <wps:wsp>
                          <wps:cNvSpPr txBox="1"/>
                          <wps:spPr>
                            <a:xfrm>
                              <a:off x="0" y="0"/>
                              <a:ext cx="3680460" cy="467360"/>
                            </a:xfrm>
                            <a:prstGeom prst="rect">
                              <a:avLst/>
                            </a:prstGeom>
                            <a:noFill/>
                            <a:ln>
                              <a:noFill/>
                            </a:ln>
                            <a:effectLst/>
                          </wps:spPr>
                          <wps:txbx>
                            <w:txbxContent>
                              <w:p w14:paraId="10E035B4" w14:textId="77777777" w:rsidR="006B1D25" w:rsidRPr="00234EF2" w:rsidRDefault="006B1D25" w:rsidP="006B1D25">
                                <w:pPr>
                                  <w:jc w:val="right"/>
                                  <w:rPr>
                                    <w:rStyle w:val="lev"/>
                                    <w:color w:val="FFFFFF" w:themeColor="background1"/>
                                  </w:rPr>
                                </w:pPr>
                                <w:r w:rsidRPr="00234EF2">
                                  <w:rPr>
                                    <w:rStyle w:val="lev"/>
                                    <w:color w:val="FFFFFF" w:themeColor="background1"/>
                                  </w:rPr>
                                  <w:t xml:space="preserve">Département d'Économie Appliquée de l'ULB </w:t>
                                </w:r>
                              </w:p>
                              <w:p w14:paraId="047903C0" w14:textId="66BC7F04" w:rsidR="006B1D25" w:rsidRPr="0017499A" w:rsidRDefault="00351BB9" w:rsidP="0017499A">
                                <w:pPr>
                                  <w:jc w:val="right"/>
                                  <w:rPr>
                                    <w:color w:val="FFFFFF" w:themeColor="background1"/>
                                    <w:sz w:val="32"/>
                                    <w:szCs w:val="32"/>
                                  </w:rPr>
                                </w:pPr>
                                <w:hyperlink r:id="rId10" w:history="1">
                                  <w:r w:rsidR="0017499A" w:rsidRPr="0017499A">
                                    <w:rPr>
                                      <w:rStyle w:val="Lienhypertexte"/>
                                      <w:color w:val="FFFFFF" w:themeColor="background1"/>
                                      <w:lang w:val="en-US"/>
                                    </w:rPr>
                                    <w:t>www.dulbea.ulb.be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FE41" id="_x0000_t202" coordsize="21600,21600" o:spt="202" path="m,l,21600r21600,l21600,xe">
                    <v:stroke joinstyle="miter"/>
                    <v:path gradientshapeok="t" o:connecttype="rect"/>
                  </v:shapetype>
                  <v:shape id="Text Box 7" o:spid="_x0000_s1026" type="#_x0000_t202" style="position:absolute;margin-left:193.15pt;margin-top:38.6pt;width:289.8pt;height:36.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" filled="f" stroked="f">
                    <v:textbox>
                      <w:txbxContent>
                        <w:p w14:paraId="10E035B4" w14:textId="77777777" w:rsidR="006B1D25" w:rsidRPr="00234EF2" w:rsidRDefault="006B1D25" w:rsidP="006B1D25">
                          <w:pPr>
                            <w:jc w:val="right"/>
                            <w:rPr>
                              <w:rStyle w:val="lev"/>
                              <w:color w:val="FFFFFF" w:themeColor="background1"/>
                            </w:rPr>
                          </w:pPr>
                          <w:r w:rsidRPr="00234EF2">
                            <w:rPr>
                              <w:rStyle w:val="lev"/>
                              <w:color w:val="FFFFFF" w:themeColor="background1"/>
                            </w:rPr>
                            <w:t xml:space="preserve">Département d'Économie Appliquée de l'ULB </w:t>
                          </w:r>
                        </w:p>
                        <w:p w14:paraId="047903C0" w14:textId="66BC7F04" w:rsidR="006B1D25" w:rsidRPr="0017499A" w:rsidRDefault="0017499A" w:rsidP="0017499A">
                          <w:pPr>
                            <w:jc w:val="right"/>
                            <w:rPr>
                              <w:color w:val="FFFFFF" w:themeColor="background1"/>
                              <w:sz w:val="32"/>
                              <w:szCs w:val="32"/>
                            </w:rPr>
                          </w:pPr>
                          <w:hyperlink r:id="rId11" w:history="1">
                            <w:r w:rsidRPr="0017499A">
                              <w:rPr>
                                <w:rStyle w:val="Lienhypertexte"/>
                                <w:color w:val="FFFFFF" w:themeColor="background1"/>
                                <w:lang w:val="en-US"/>
                              </w:rPr>
                              <w:t>www.dulbea.ulb.be</w:t>
                            </w:r>
                          </w:hyperlink>
                        </w:p>
                      </w:txbxContent>
                    </v:textbox>
                    <w10:wrap anchorx="margin" anchory="margin"/>
                    <w10:anchorlock/>
                  </v:shape>
                </w:pict>
              </mc:Fallback>
            </mc:AlternateContent>
          </w:r>
          <w:r>
            <w:rPr>
              <w:rFonts w:ascii="Times" w:hAnsi="Times" w:cs="Times"/>
              <w:noProof/>
              <w:sz w:val="30"/>
              <w:szCs w:val="30"/>
              <w:lang w:val="fr-FR" w:eastAsia="fr-FR"/>
            </w:rPr>
            <mc:AlternateContent>
              <mc:Choice Requires="wps">
                <w:drawing>
                  <wp:anchor distT="0" distB="0" distL="114300" distR="114300" simplePos="0" relativeHeight="251666432" behindDoc="0" locked="1" layoutInCell="1" allowOverlap="1" wp14:anchorId="776B09AD" wp14:editId="77AAF523">
                    <wp:simplePos x="0" y="0"/>
                    <wp:positionH relativeFrom="column">
                      <wp:posOffset>-361950</wp:posOffset>
                    </wp:positionH>
                    <wp:positionV relativeFrom="page">
                      <wp:posOffset>1280795</wp:posOffset>
                    </wp:positionV>
                    <wp:extent cx="2353945" cy="5810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2353945" cy="5810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99FDE89" w14:textId="0EB90373" w:rsidR="006B1D25" w:rsidRDefault="006B1D25" w:rsidP="006B1D25">
                                <w:pPr>
                                  <w:rPr>
                                    <w:color w:val="FFFFFF" w:themeColor="background1"/>
                                    <w:sz w:val="32"/>
                                    <w:szCs w:val="32"/>
                                  </w:rPr>
                                </w:pPr>
                                <w:proofErr w:type="spellStart"/>
                                <w:r>
                                  <w:rPr>
                                    <w:color w:val="FFFFFF" w:themeColor="background1"/>
                                    <w:sz w:val="32"/>
                                    <w:szCs w:val="32"/>
                                  </w:rPr>
                                  <w:t>Working</w:t>
                                </w:r>
                                <w:proofErr w:type="spellEnd"/>
                                <w:r>
                                  <w:rPr>
                                    <w:color w:val="FFFFFF" w:themeColor="background1"/>
                                    <w:sz w:val="32"/>
                                    <w:szCs w:val="32"/>
                                  </w:rPr>
                                  <w:t xml:space="preserve"> </w:t>
                                </w:r>
                                <w:proofErr w:type="spellStart"/>
                                <w:r>
                                  <w:rPr>
                                    <w:color w:val="FFFFFF" w:themeColor="background1"/>
                                    <w:sz w:val="32"/>
                                    <w:szCs w:val="32"/>
                                  </w:rPr>
                                  <w:t>paper</w:t>
                                </w:r>
                                <w:proofErr w:type="spellEnd"/>
                                <w:r>
                                  <w:rPr>
                                    <w:color w:val="FFFFFF" w:themeColor="background1"/>
                                    <w:sz w:val="32"/>
                                    <w:szCs w:val="32"/>
                                  </w:rPr>
                                  <w:t xml:space="preserve"> </w:t>
                                </w:r>
                                <w:r w:rsidR="0017499A">
                                  <w:rPr>
                                    <w:color w:val="FFFFFF" w:themeColor="background1"/>
                                    <w:sz w:val="32"/>
                                    <w:szCs w:val="32"/>
                                  </w:rPr>
                                  <w:t>2022/01</w:t>
                                </w:r>
                              </w:p>
                              <w:p w14:paraId="1528F900" w14:textId="77777777" w:rsidR="006B1D25" w:rsidRPr="006B1795" w:rsidRDefault="006B1D25" w:rsidP="006B1D25">
                                <w:pPr>
                                  <w:rPr>
                                    <w:color w:val="FFFFFF" w:themeColor="background1"/>
                                    <w:sz w:val="32"/>
                                    <w:szCs w:val="32"/>
                                  </w:rPr>
                                </w:pPr>
                                <w:r>
                                  <w:rPr>
                                    <w:color w:val="FFFFFF" w:themeColor="background1"/>
                                    <w:sz w:val="32"/>
                                    <w:szCs w:val="32"/>
                                  </w:rPr>
                                  <w:t>Février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B09AD" id="_x0000_s1027" type="#_x0000_t202" style="position:absolute;margin-left:-28.5pt;margin-top:100.85pt;width:185.3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" filled="f" stroked="f">
                    <v:textbox>
                      <w:txbxContent>
                        <w:p w14:paraId="499FDE89" w14:textId="0EB90373" w:rsidR="006B1D25" w:rsidRDefault="006B1D25" w:rsidP="006B1D25">
                          <w:pPr>
                            <w:rPr>
                              <w:color w:val="FFFFFF" w:themeColor="background1"/>
                              <w:sz w:val="32"/>
                              <w:szCs w:val="32"/>
                            </w:rPr>
                          </w:pPr>
                          <w:proofErr w:type="spellStart"/>
                          <w:r>
                            <w:rPr>
                              <w:color w:val="FFFFFF" w:themeColor="background1"/>
                              <w:sz w:val="32"/>
                              <w:szCs w:val="32"/>
                            </w:rPr>
                            <w:t>Working</w:t>
                          </w:r>
                          <w:proofErr w:type="spellEnd"/>
                          <w:r>
                            <w:rPr>
                              <w:color w:val="FFFFFF" w:themeColor="background1"/>
                              <w:sz w:val="32"/>
                              <w:szCs w:val="32"/>
                            </w:rPr>
                            <w:t xml:space="preserve"> </w:t>
                          </w:r>
                          <w:proofErr w:type="spellStart"/>
                          <w:r>
                            <w:rPr>
                              <w:color w:val="FFFFFF" w:themeColor="background1"/>
                              <w:sz w:val="32"/>
                              <w:szCs w:val="32"/>
                            </w:rPr>
                            <w:t>paper</w:t>
                          </w:r>
                          <w:proofErr w:type="spellEnd"/>
                          <w:r>
                            <w:rPr>
                              <w:color w:val="FFFFFF" w:themeColor="background1"/>
                              <w:sz w:val="32"/>
                              <w:szCs w:val="32"/>
                            </w:rPr>
                            <w:t xml:space="preserve"> </w:t>
                          </w:r>
                          <w:r w:rsidR="0017499A">
                            <w:rPr>
                              <w:color w:val="FFFFFF" w:themeColor="background1"/>
                              <w:sz w:val="32"/>
                              <w:szCs w:val="32"/>
                            </w:rPr>
                            <w:t>2022/01</w:t>
                          </w:r>
                        </w:p>
                        <w:p w14:paraId="1528F900" w14:textId="77777777" w:rsidR="006B1D25" w:rsidRPr="006B1795" w:rsidRDefault="006B1D25" w:rsidP="006B1D25">
                          <w:pPr>
                            <w:rPr>
                              <w:color w:val="FFFFFF" w:themeColor="background1"/>
                              <w:sz w:val="32"/>
                              <w:szCs w:val="32"/>
                            </w:rPr>
                          </w:pPr>
                          <w:r>
                            <w:rPr>
                              <w:color w:val="FFFFFF" w:themeColor="background1"/>
                              <w:sz w:val="32"/>
                              <w:szCs w:val="32"/>
                            </w:rPr>
                            <w:t>Février 2021</w:t>
                          </w:r>
                        </w:p>
                      </w:txbxContent>
                    </v:textbox>
                    <w10:wrap type="square" anchory="page"/>
                    <w10:anchorlock/>
                  </v:shape>
                </w:pict>
              </mc:Fallback>
            </mc:AlternateContent>
          </w:r>
          <w:r>
            <w:rPr>
              <w:noProof/>
            </w:rPr>
            <mc:AlternateContent>
              <mc:Choice Requires="wpg">
                <w:drawing>
                  <wp:anchor distT="0" distB="0" distL="114300" distR="114300" simplePos="0" relativeHeight="251664384" behindDoc="1" locked="0" layoutInCell="1" allowOverlap="1" wp14:anchorId="396CC708" wp14:editId="1D1C5726">
                    <wp:simplePos x="0" y="0"/>
                    <wp:positionH relativeFrom="page">
                      <wp:align>center</wp:align>
                    </wp:positionH>
                    <wp:positionV relativeFrom="page">
                      <wp:align>center</wp:align>
                    </wp:positionV>
                    <wp:extent cx="6864824" cy="9123528"/>
                    <wp:effectExtent l="0" t="0" r="2540" b="635"/>
                    <wp:wrapNone/>
                    <wp:docPr id="193" name="Groupe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4"/>
                                      <w:szCs w:val="44"/>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CF5D7C7" w14:textId="778D2586" w:rsidR="006B1D25" w:rsidRPr="006B1D25" w:rsidRDefault="006B1D25">
                                      <w:pPr>
                                        <w:pStyle w:val="Sansinterligne"/>
                                        <w:spacing w:before="120"/>
                                        <w:jc w:val="center"/>
                                        <w:rPr>
                                          <w:color w:val="FFFFFF" w:themeColor="background1"/>
                                          <w:sz w:val="44"/>
                                          <w:szCs w:val="44"/>
                                        </w:rPr>
                                      </w:pPr>
                                      <w:r w:rsidRPr="006B1D25">
                                        <w:rPr>
                                          <w:color w:val="FFFFFF" w:themeColor="background1"/>
                                          <w:sz w:val="44"/>
                                          <w:szCs w:val="44"/>
                                        </w:rPr>
                                        <w:t>B</w:t>
                                      </w:r>
                                      <w:r>
                                        <w:rPr>
                                          <w:color w:val="FFFFFF" w:themeColor="background1"/>
                                          <w:sz w:val="44"/>
                                          <w:szCs w:val="44"/>
                                        </w:rPr>
                                        <w:t xml:space="preserve">ayenet </w:t>
                                      </w:r>
                                      <w:r w:rsidRPr="006B1D25">
                                        <w:rPr>
                                          <w:color w:val="FFFFFF" w:themeColor="background1"/>
                                          <w:sz w:val="44"/>
                                          <w:szCs w:val="44"/>
                                        </w:rPr>
                                        <w:t>Benoit</w:t>
                                      </w:r>
                                    </w:p>
                                  </w:sdtContent>
                                </w:sdt>
                                <w:p w14:paraId="5E63D032" w14:textId="6A51413F" w:rsidR="006B1D25" w:rsidRDefault="00351BB9">
                                  <w:pPr>
                                    <w:pStyle w:val="Sansinterligne"/>
                                    <w:spacing w:before="120"/>
                                    <w:jc w:val="center"/>
                                    <w:rPr>
                                      <w:color w:val="FFFFFF" w:themeColor="background1"/>
                                      <w:sz w:val="44"/>
                                      <w:szCs w:val="44"/>
                                      <w:lang w:val="fr-FR"/>
                                    </w:rPr>
                                  </w:pPr>
                                  <w:sdt>
                                    <w:sdtPr>
                                      <w:rPr>
                                        <w:caps/>
                                        <w:color w:val="FFFFFF" w:themeColor="background1"/>
                                        <w:sz w:val="44"/>
                                        <w:szCs w:val="44"/>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6B1D25" w:rsidRPr="006B1D25">
                                        <w:rPr>
                                          <w:caps/>
                                          <w:color w:val="FFFFFF" w:themeColor="background1"/>
                                          <w:sz w:val="44"/>
                                          <w:szCs w:val="44"/>
                                        </w:rPr>
                                        <w:t>Professeur ULB</w:t>
                                      </w:r>
                                    </w:sdtContent>
                                  </w:sdt>
                                  <w:r w:rsidR="006B1D25">
                                    <w:rPr>
                                      <w:color w:val="FFFFFF" w:themeColor="background1"/>
                                      <w:sz w:val="44"/>
                                      <w:szCs w:val="44"/>
                                      <w:lang w:val="fr-FR"/>
                                    </w:rPr>
                                    <w:t>/</w:t>
                                  </w:r>
                                  <w:proofErr w:type="spellStart"/>
                                  <w:r w:rsidR="006B1D25">
                                    <w:rPr>
                                      <w:color w:val="FFFFFF" w:themeColor="background1"/>
                                      <w:sz w:val="44"/>
                                      <w:szCs w:val="44"/>
                                      <w:lang w:val="fr-FR"/>
                                    </w:rPr>
                                    <w:t>ULiège</w:t>
                                  </w:r>
                                  <w:proofErr w:type="spellEnd"/>
                                </w:p>
                                <w:p w14:paraId="0ACFB221" w14:textId="187771E0" w:rsidR="006B1D25" w:rsidRPr="006B1D25" w:rsidRDefault="00C90862">
                                  <w:pPr>
                                    <w:pStyle w:val="Sansinterligne"/>
                                    <w:spacing w:before="120"/>
                                    <w:jc w:val="center"/>
                                    <w:rPr>
                                      <w:color w:val="FFFFFF" w:themeColor="background1"/>
                                      <w:sz w:val="44"/>
                                      <w:szCs w:val="44"/>
                                      <w:lang w:val="fr-FR"/>
                                    </w:rPr>
                                  </w:pPr>
                                  <w:r>
                                    <w:rPr>
                                      <w:color w:val="FFFFFF" w:themeColor="background1"/>
                                      <w:sz w:val="44"/>
                                      <w:szCs w:val="44"/>
                                      <w:lang w:val="fr-FR"/>
                                    </w:rPr>
                                    <w:t>b</w:t>
                                  </w:r>
                                  <w:r w:rsidR="006B1D25">
                                    <w:rPr>
                                      <w:color w:val="FFFFFF" w:themeColor="background1"/>
                                      <w:sz w:val="44"/>
                                      <w:szCs w:val="44"/>
                                      <w:lang w:val="fr-FR"/>
                                    </w:rPr>
                                    <w:t>enoit.bayenet@ulb.be</w:t>
                                  </w:r>
                                </w:p>
                                <w:p w14:paraId="7E89FC82" w14:textId="5640734A" w:rsidR="006B1D25" w:rsidRDefault="006B1D25">
                                  <w:pPr>
                                    <w:pStyle w:val="Sansinterligne"/>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D60D56" w14:textId="1D33308C" w:rsidR="006B1D25" w:rsidRPr="006B1D25" w:rsidRDefault="006B1D25">
                                  <w:pPr>
                                    <w:pStyle w:val="Sansinterligne"/>
                                    <w:jc w:val="center"/>
                                    <w:rPr>
                                      <w:rFonts w:asciiTheme="majorHAnsi" w:eastAsiaTheme="majorEastAsia" w:hAnsiTheme="majorHAnsi" w:cstheme="majorBidi"/>
                                      <w:caps/>
                                      <w:color w:val="4472C4" w:themeColor="accent1"/>
                                      <w:sz w:val="56"/>
                                      <w:szCs w:val="56"/>
                                    </w:rPr>
                                  </w:pPr>
                                  <w:r w:rsidRPr="006B1D25">
                                    <w:rPr>
                                      <w:b/>
                                      <w:bCs/>
                                      <w:color w:val="ED7D31" w:themeColor="accent2"/>
                                      <w:sz w:val="56"/>
                                      <w:szCs w:val="56"/>
                                    </w:rPr>
                                    <w:t>Asymétrie du fédéralisme belge : une analyse par les finances publiques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96CC708" id="Groupe 193" o:spid="_x0000_s1028" style="position:absolute;margin-left:0;margin-top:0;width:540.55pt;height:718.4pt;z-index:-25165209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">
                    <v:rect id="Rectangle 194" o:spid="_x0000_s1029"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30"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sz w:val="44"/>
                                <w:szCs w:val="44"/>
                              </w:rPr>
                              <w:alias w:val="Auteu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5CF5D7C7" w14:textId="778D2586" w:rsidR="006B1D25" w:rsidRPr="006B1D25" w:rsidRDefault="006B1D25">
                                <w:pPr>
                                  <w:pStyle w:val="Sansinterligne"/>
                                  <w:spacing w:before="120"/>
                                  <w:jc w:val="center"/>
                                  <w:rPr>
                                    <w:color w:val="FFFFFF" w:themeColor="background1"/>
                                    <w:sz w:val="44"/>
                                    <w:szCs w:val="44"/>
                                  </w:rPr>
                                </w:pPr>
                                <w:r w:rsidRPr="006B1D25">
                                  <w:rPr>
                                    <w:color w:val="FFFFFF" w:themeColor="background1"/>
                                    <w:sz w:val="44"/>
                                    <w:szCs w:val="44"/>
                                  </w:rPr>
                                  <w:t>B</w:t>
                                </w:r>
                                <w:r>
                                  <w:rPr>
                                    <w:color w:val="FFFFFF" w:themeColor="background1"/>
                                    <w:sz w:val="44"/>
                                    <w:szCs w:val="44"/>
                                  </w:rPr>
                                  <w:t xml:space="preserve">ayenet </w:t>
                                </w:r>
                                <w:r w:rsidRPr="006B1D25">
                                  <w:rPr>
                                    <w:color w:val="FFFFFF" w:themeColor="background1"/>
                                    <w:sz w:val="44"/>
                                    <w:szCs w:val="44"/>
                                  </w:rPr>
                                  <w:t>Benoit</w:t>
                                </w:r>
                              </w:p>
                            </w:sdtContent>
                          </w:sdt>
                          <w:p w14:paraId="5E63D032" w14:textId="6A51413F" w:rsidR="006B1D25" w:rsidRDefault="00F11909">
                            <w:pPr>
                              <w:pStyle w:val="Sansinterligne"/>
                              <w:spacing w:before="120"/>
                              <w:jc w:val="center"/>
                              <w:rPr>
                                <w:color w:val="FFFFFF" w:themeColor="background1"/>
                                <w:sz w:val="44"/>
                                <w:szCs w:val="44"/>
                                <w:lang w:val="fr-FR"/>
                              </w:rPr>
                            </w:pPr>
                            <w:sdt>
                              <w:sdtPr>
                                <w:rPr>
                                  <w:caps/>
                                  <w:color w:val="FFFFFF" w:themeColor="background1"/>
                                  <w:sz w:val="44"/>
                                  <w:szCs w:val="44"/>
                                </w:rPr>
                                <w:alias w:val="Société"/>
                                <w:tag w:val=""/>
                                <w:id w:val="1618182777"/>
                                <w:dataBinding w:prefixMappings="xmlns:ns0='http://schemas.openxmlformats.org/officeDocument/2006/extended-properties' " w:xpath="/ns0:Properties[1]/ns0:Company[1]" w:storeItemID="{6668398D-A668-4E3E-A5EB-62B293D839F1}"/>
                                <w:text/>
                              </w:sdtPr>
                              <w:sdtEndPr/>
                              <w:sdtContent>
                                <w:r w:rsidR="006B1D25" w:rsidRPr="006B1D25">
                                  <w:rPr>
                                    <w:caps/>
                                    <w:color w:val="FFFFFF" w:themeColor="background1"/>
                                    <w:sz w:val="44"/>
                                    <w:szCs w:val="44"/>
                                  </w:rPr>
                                  <w:t>Professeur ULB</w:t>
                                </w:r>
                              </w:sdtContent>
                            </w:sdt>
                            <w:r w:rsidR="006B1D25">
                              <w:rPr>
                                <w:color w:val="FFFFFF" w:themeColor="background1"/>
                                <w:sz w:val="44"/>
                                <w:szCs w:val="44"/>
                                <w:lang w:val="fr-FR"/>
                              </w:rPr>
                              <w:t>/</w:t>
                            </w:r>
                            <w:proofErr w:type="spellStart"/>
                            <w:r w:rsidR="006B1D25">
                              <w:rPr>
                                <w:color w:val="FFFFFF" w:themeColor="background1"/>
                                <w:sz w:val="44"/>
                                <w:szCs w:val="44"/>
                                <w:lang w:val="fr-FR"/>
                              </w:rPr>
                              <w:t>ULiège</w:t>
                            </w:r>
                            <w:proofErr w:type="spellEnd"/>
                          </w:p>
                          <w:p w14:paraId="0ACFB221" w14:textId="187771E0" w:rsidR="006B1D25" w:rsidRPr="006B1D25" w:rsidRDefault="00C90862">
                            <w:pPr>
                              <w:pStyle w:val="Sansinterligne"/>
                              <w:spacing w:before="120"/>
                              <w:jc w:val="center"/>
                              <w:rPr>
                                <w:color w:val="FFFFFF" w:themeColor="background1"/>
                                <w:sz w:val="44"/>
                                <w:szCs w:val="44"/>
                                <w:lang w:val="fr-FR"/>
                              </w:rPr>
                            </w:pPr>
                            <w:r>
                              <w:rPr>
                                <w:color w:val="FFFFFF" w:themeColor="background1"/>
                                <w:sz w:val="44"/>
                                <w:szCs w:val="44"/>
                                <w:lang w:val="fr-FR"/>
                              </w:rPr>
                              <w:t>b</w:t>
                            </w:r>
                            <w:r w:rsidR="006B1D25">
                              <w:rPr>
                                <w:color w:val="FFFFFF" w:themeColor="background1"/>
                                <w:sz w:val="44"/>
                                <w:szCs w:val="44"/>
                                <w:lang w:val="fr-FR"/>
                              </w:rPr>
                              <w:t>enoit.bayenet@ulb.be</w:t>
                            </w:r>
                          </w:p>
                          <w:p w14:paraId="7E89FC82" w14:textId="5640734A" w:rsidR="006B1D25" w:rsidRDefault="006B1D25">
                            <w:pPr>
                              <w:pStyle w:val="Sansinterligne"/>
                              <w:spacing w:before="120"/>
                              <w:jc w:val="center"/>
                              <w:rPr>
                                <w:color w:val="FFFFFF" w:themeColor="background1"/>
                              </w:rPr>
                            </w:pPr>
                          </w:p>
                        </w:txbxContent>
                      </v:textbox>
                    </v:rect>
                    <v:shape id="Zone de texte 196" o:spid="_x0000_s1031"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77D60D56" w14:textId="1D33308C" w:rsidR="006B1D25" w:rsidRPr="006B1D25" w:rsidRDefault="006B1D25">
                            <w:pPr>
                              <w:pStyle w:val="Sansinterligne"/>
                              <w:jc w:val="center"/>
                              <w:rPr>
                                <w:rFonts w:asciiTheme="majorHAnsi" w:eastAsiaTheme="majorEastAsia" w:hAnsiTheme="majorHAnsi" w:cstheme="majorBidi"/>
                                <w:caps/>
                                <w:color w:val="4472C4" w:themeColor="accent1"/>
                                <w:sz w:val="56"/>
                                <w:szCs w:val="56"/>
                              </w:rPr>
                            </w:pPr>
                            <w:r w:rsidRPr="006B1D25">
                              <w:rPr>
                                <w:b/>
                                <w:bCs/>
                                <w:color w:val="ED7D31" w:themeColor="accent2"/>
                                <w:sz w:val="56"/>
                                <w:szCs w:val="56"/>
                              </w:rPr>
                              <w:t>Asymétrie du fédéralisme belge : une analyse par les finances publiques</w:t>
                            </w:r>
                          </w:p>
                        </w:txbxContent>
                      </v:textbox>
                    </v:shape>
                    <w10:wrap anchorx="page" anchory="page"/>
                  </v:group>
                </w:pict>
              </mc:Fallback>
            </mc:AlternateContent>
          </w:r>
        </w:p>
        <w:p w14:paraId="4ED1AD65" w14:textId="4D1DFE58" w:rsidR="006B1D25" w:rsidRDefault="006B1D25">
          <w:pPr>
            <w:spacing w:after="160" w:line="259" w:lineRule="auto"/>
            <w:rPr>
              <w:b/>
              <w:bCs/>
              <w:sz w:val="28"/>
              <w:szCs w:val="28"/>
            </w:rPr>
          </w:pPr>
          <w:r>
            <w:rPr>
              <w:b/>
              <w:bCs/>
              <w:sz w:val="28"/>
              <w:szCs w:val="28"/>
            </w:rPr>
            <w:br w:type="page"/>
          </w:r>
        </w:p>
      </w:sdtContent>
    </w:sdt>
    <w:p w14:paraId="5DA00D8C" w14:textId="316AFDE6" w:rsidR="005C6FF9" w:rsidRPr="00CB11ED" w:rsidRDefault="005C6FF9" w:rsidP="005C6FF9">
      <w:pPr>
        <w:pStyle w:val="En-tte"/>
        <w:rPr>
          <w:sz w:val="2"/>
          <w:szCs w:val="2"/>
        </w:rPr>
      </w:pPr>
    </w:p>
    <w:p w14:paraId="2110C728" w14:textId="7F6E6EA2" w:rsidR="00B0627C" w:rsidRPr="00A55CD4" w:rsidRDefault="00B0627C" w:rsidP="009E5FE2">
      <w:pPr>
        <w:spacing w:after="160" w:line="259" w:lineRule="auto"/>
        <w:jc w:val="center"/>
        <w:rPr>
          <w:b/>
          <w:bCs/>
          <w:color w:val="ED7D31" w:themeColor="accent2"/>
          <w:sz w:val="32"/>
          <w:szCs w:val="32"/>
        </w:rPr>
      </w:pPr>
      <w:r w:rsidRPr="00A55CD4">
        <w:rPr>
          <w:b/>
          <w:bCs/>
          <w:color w:val="ED7D31" w:themeColor="accent2"/>
          <w:sz w:val="32"/>
          <w:szCs w:val="32"/>
        </w:rPr>
        <w:t>Asymétrie du fédéralisme belge : une analyse par les finances publiques</w:t>
      </w:r>
      <w:r w:rsidR="00392843" w:rsidRPr="00A55CD4">
        <w:rPr>
          <w:rStyle w:val="Appelnotedebasdep"/>
          <w:b/>
          <w:bCs/>
          <w:color w:val="ED7D31" w:themeColor="accent2"/>
          <w:sz w:val="32"/>
          <w:szCs w:val="32"/>
        </w:rPr>
        <w:footnoteReference w:id="1"/>
      </w:r>
    </w:p>
    <w:p w14:paraId="02DBE3D6" w14:textId="216C5F0C" w:rsidR="00B0627C" w:rsidRPr="00A55CD4" w:rsidRDefault="00B0627C" w:rsidP="009E5FE2">
      <w:pPr>
        <w:spacing w:after="160" w:line="259" w:lineRule="auto"/>
        <w:jc w:val="center"/>
        <w:rPr>
          <w:b/>
          <w:bCs/>
          <w:color w:val="ED7D31" w:themeColor="accent2"/>
          <w:sz w:val="32"/>
          <w:szCs w:val="32"/>
        </w:rPr>
      </w:pPr>
      <w:r w:rsidRPr="00A55CD4">
        <w:rPr>
          <w:b/>
          <w:bCs/>
          <w:color w:val="ED7D31" w:themeColor="accent2"/>
          <w:sz w:val="32"/>
          <w:szCs w:val="32"/>
        </w:rPr>
        <w:t>Bayenet Benoit</w:t>
      </w:r>
    </w:p>
    <w:p w14:paraId="08ED38E0" w14:textId="34A2E9A6" w:rsidR="00A55CD4" w:rsidRPr="007E5C13" w:rsidRDefault="007E5C13" w:rsidP="00FC561F">
      <w:pPr>
        <w:spacing w:after="120" w:line="360" w:lineRule="auto"/>
        <w:jc w:val="both"/>
        <w:rPr>
          <w:b/>
          <w:bCs/>
          <w:color w:val="4472C4" w:themeColor="accent1"/>
          <w:sz w:val="28"/>
          <w:szCs w:val="28"/>
        </w:rPr>
      </w:pPr>
      <w:r w:rsidRPr="007E5C13">
        <w:rPr>
          <w:b/>
          <w:bCs/>
          <w:color w:val="4472C4" w:themeColor="accent1"/>
          <w:sz w:val="28"/>
          <w:szCs w:val="28"/>
        </w:rPr>
        <w:t>Table des matières</w:t>
      </w:r>
    </w:p>
    <w:p w14:paraId="0B7E74F7" w14:textId="5CA7B70B" w:rsidR="007E5C13" w:rsidRDefault="007E5C13">
      <w:pPr>
        <w:pStyle w:val="TM1"/>
        <w:tabs>
          <w:tab w:val="left" w:pos="480"/>
        </w:tabs>
        <w:rPr>
          <w:rFonts w:asciiTheme="minorHAnsi" w:eastAsiaTheme="minorEastAsia" w:hAnsiTheme="minorHAnsi" w:cstheme="minorBidi"/>
          <w:b w:val="0"/>
          <w:caps w:val="0"/>
          <w:noProof/>
          <w:spacing w:val="0"/>
          <w:sz w:val="22"/>
          <w:szCs w:val="22"/>
          <w:lang w:eastAsia="fr-BE"/>
        </w:rPr>
      </w:pPr>
      <w:r>
        <w:fldChar w:fldCharType="begin"/>
      </w:r>
      <w:r>
        <w:instrText xml:space="preserve"> TOC \o "1-5" \h \z \u </w:instrText>
      </w:r>
      <w:r>
        <w:fldChar w:fldCharType="separate"/>
      </w:r>
      <w:hyperlink w:anchor="_Toc96081438" w:history="1">
        <w:r w:rsidRPr="0011790B">
          <w:rPr>
            <w:rStyle w:val="Lienhypertexte"/>
            <w:noProof/>
            <w:lang w:val="fr-FR"/>
          </w:rPr>
          <w:t>I.</w:t>
        </w:r>
        <w:r>
          <w:rPr>
            <w:rFonts w:asciiTheme="minorHAnsi" w:eastAsiaTheme="minorEastAsia" w:hAnsiTheme="minorHAnsi" w:cstheme="minorBidi"/>
            <w:b w:val="0"/>
            <w:caps w:val="0"/>
            <w:noProof/>
            <w:spacing w:val="0"/>
            <w:sz w:val="22"/>
            <w:szCs w:val="22"/>
            <w:lang w:eastAsia="fr-BE"/>
          </w:rPr>
          <w:tab/>
        </w:r>
        <w:r w:rsidRPr="0011790B">
          <w:rPr>
            <w:rStyle w:val="Lienhypertexte"/>
            <w:noProof/>
            <w:lang w:val="fr-FR"/>
          </w:rPr>
          <w:t xml:space="preserve">Introduction  </w:t>
        </w:r>
        <w:r w:rsidRPr="0011790B">
          <w:rPr>
            <w:rStyle w:val="Lienhypertexte"/>
            <w:bCs/>
            <w:noProof/>
            <w:lang w:val="fr-FR"/>
          </w:rPr>
          <w:t>&gt;&gt;</w:t>
        </w:r>
        <w:r>
          <w:rPr>
            <w:noProof/>
            <w:webHidden/>
          </w:rPr>
          <w:tab/>
        </w:r>
        <w:r>
          <w:rPr>
            <w:noProof/>
            <w:webHidden/>
          </w:rPr>
          <w:fldChar w:fldCharType="begin"/>
        </w:r>
        <w:r>
          <w:rPr>
            <w:noProof/>
            <w:webHidden/>
          </w:rPr>
          <w:instrText xml:space="preserve"> PAGEREF _Toc96081438 \h </w:instrText>
        </w:r>
        <w:r>
          <w:rPr>
            <w:noProof/>
            <w:webHidden/>
          </w:rPr>
        </w:r>
        <w:r>
          <w:rPr>
            <w:noProof/>
            <w:webHidden/>
          </w:rPr>
          <w:fldChar w:fldCharType="separate"/>
        </w:r>
        <w:r w:rsidR="00E41B12">
          <w:rPr>
            <w:noProof/>
            <w:webHidden/>
          </w:rPr>
          <w:t>1</w:t>
        </w:r>
        <w:r>
          <w:rPr>
            <w:noProof/>
            <w:webHidden/>
          </w:rPr>
          <w:fldChar w:fldCharType="end"/>
        </w:r>
      </w:hyperlink>
    </w:p>
    <w:p w14:paraId="0D59ECAB" w14:textId="1F65312E" w:rsidR="007E5C13" w:rsidRDefault="00351BB9">
      <w:pPr>
        <w:pStyle w:val="TM1"/>
        <w:tabs>
          <w:tab w:val="left" w:pos="480"/>
        </w:tabs>
        <w:rPr>
          <w:rFonts w:asciiTheme="minorHAnsi" w:eastAsiaTheme="minorEastAsia" w:hAnsiTheme="minorHAnsi" w:cstheme="minorBidi"/>
          <w:b w:val="0"/>
          <w:caps w:val="0"/>
          <w:noProof/>
          <w:spacing w:val="0"/>
          <w:sz w:val="22"/>
          <w:szCs w:val="22"/>
          <w:lang w:eastAsia="fr-BE"/>
        </w:rPr>
      </w:pPr>
      <w:hyperlink w:anchor="_Toc96081439" w:history="1">
        <w:r w:rsidR="007E5C13" w:rsidRPr="0011790B">
          <w:rPr>
            <w:rStyle w:val="Lienhypertexte"/>
            <w:noProof/>
          </w:rPr>
          <w:t>II.</w:t>
        </w:r>
        <w:r w:rsidR="007E5C13">
          <w:rPr>
            <w:rFonts w:asciiTheme="minorHAnsi" w:eastAsiaTheme="minorEastAsia" w:hAnsiTheme="minorHAnsi" w:cstheme="minorBidi"/>
            <w:b w:val="0"/>
            <w:caps w:val="0"/>
            <w:noProof/>
            <w:spacing w:val="0"/>
            <w:sz w:val="22"/>
            <w:szCs w:val="22"/>
            <w:lang w:eastAsia="fr-BE"/>
          </w:rPr>
          <w:tab/>
        </w:r>
        <w:r w:rsidR="007E5C13" w:rsidRPr="0011790B">
          <w:rPr>
            <w:rStyle w:val="Lienhypertexte"/>
            <w:noProof/>
          </w:rPr>
          <w:t>La construction d’un modèle fédéral à double strate</w:t>
        </w:r>
        <w:r w:rsidR="007E5C13">
          <w:rPr>
            <w:noProof/>
            <w:webHidden/>
          </w:rPr>
          <w:tab/>
        </w:r>
        <w:r w:rsidR="007E5C13">
          <w:rPr>
            <w:noProof/>
            <w:webHidden/>
          </w:rPr>
          <w:fldChar w:fldCharType="begin"/>
        </w:r>
        <w:r w:rsidR="007E5C13">
          <w:rPr>
            <w:noProof/>
            <w:webHidden/>
          </w:rPr>
          <w:instrText xml:space="preserve"> PAGEREF _Toc96081439 \h </w:instrText>
        </w:r>
        <w:r w:rsidR="007E5C13">
          <w:rPr>
            <w:noProof/>
            <w:webHidden/>
          </w:rPr>
        </w:r>
        <w:r w:rsidR="007E5C13">
          <w:rPr>
            <w:noProof/>
            <w:webHidden/>
          </w:rPr>
          <w:fldChar w:fldCharType="separate"/>
        </w:r>
        <w:r w:rsidR="00E41B12">
          <w:rPr>
            <w:noProof/>
            <w:webHidden/>
          </w:rPr>
          <w:t>3</w:t>
        </w:r>
        <w:r w:rsidR="007E5C13">
          <w:rPr>
            <w:noProof/>
            <w:webHidden/>
          </w:rPr>
          <w:fldChar w:fldCharType="end"/>
        </w:r>
      </w:hyperlink>
    </w:p>
    <w:p w14:paraId="4DD913CB" w14:textId="3EFE7FD8"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0" w:history="1">
        <w:r w:rsidR="007E5C13" w:rsidRPr="0011790B">
          <w:rPr>
            <w:rStyle w:val="Lienhypertexte"/>
            <w:noProof/>
          </w:rPr>
          <w:t>A.</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1970</w:t>
        </w:r>
        <w:r w:rsidR="007E5C13">
          <w:rPr>
            <w:noProof/>
            <w:webHidden/>
          </w:rPr>
          <w:tab/>
        </w:r>
        <w:r w:rsidR="007E5C13">
          <w:rPr>
            <w:noProof/>
            <w:webHidden/>
          </w:rPr>
          <w:fldChar w:fldCharType="begin"/>
        </w:r>
        <w:r w:rsidR="007E5C13">
          <w:rPr>
            <w:noProof/>
            <w:webHidden/>
          </w:rPr>
          <w:instrText xml:space="preserve"> PAGEREF _Toc96081440 \h </w:instrText>
        </w:r>
        <w:r w:rsidR="007E5C13">
          <w:rPr>
            <w:noProof/>
            <w:webHidden/>
          </w:rPr>
        </w:r>
        <w:r w:rsidR="007E5C13">
          <w:rPr>
            <w:noProof/>
            <w:webHidden/>
          </w:rPr>
          <w:fldChar w:fldCharType="separate"/>
        </w:r>
        <w:r w:rsidR="00E41B12">
          <w:rPr>
            <w:noProof/>
            <w:webHidden/>
          </w:rPr>
          <w:t>5</w:t>
        </w:r>
        <w:r w:rsidR="007E5C13">
          <w:rPr>
            <w:noProof/>
            <w:webHidden/>
          </w:rPr>
          <w:fldChar w:fldCharType="end"/>
        </w:r>
      </w:hyperlink>
    </w:p>
    <w:p w14:paraId="1BD92B04" w14:textId="4E29C543"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1" w:history="1">
        <w:r w:rsidR="007E5C13" w:rsidRPr="0011790B">
          <w:rPr>
            <w:rStyle w:val="Lienhypertexte"/>
            <w:noProof/>
          </w:rPr>
          <w:t>B.</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1980</w:t>
        </w:r>
        <w:r w:rsidR="007E5C13">
          <w:rPr>
            <w:noProof/>
            <w:webHidden/>
          </w:rPr>
          <w:tab/>
        </w:r>
        <w:r w:rsidR="007E5C13">
          <w:rPr>
            <w:noProof/>
            <w:webHidden/>
          </w:rPr>
          <w:fldChar w:fldCharType="begin"/>
        </w:r>
        <w:r w:rsidR="007E5C13">
          <w:rPr>
            <w:noProof/>
            <w:webHidden/>
          </w:rPr>
          <w:instrText xml:space="preserve"> PAGEREF _Toc96081441 \h </w:instrText>
        </w:r>
        <w:r w:rsidR="007E5C13">
          <w:rPr>
            <w:noProof/>
            <w:webHidden/>
          </w:rPr>
        </w:r>
        <w:r w:rsidR="007E5C13">
          <w:rPr>
            <w:noProof/>
            <w:webHidden/>
          </w:rPr>
          <w:fldChar w:fldCharType="separate"/>
        </w:r>
        <w:r w:rsidR="00E41B12">
          <w:rPr>
            <w:noProof/>
            <w:webHidden/>
          </w:rPr>
          <w:t>7</w:t>
        </w:r>
        <w:r w:rsidR="007E5C13">
          <w:rPr>
            <w:noProof/>
            <w:webHidden/>
          </w:rPr>
          <w:fldChar w:fldCharType="end"/>
        </w:r>
      </w:hyperlink>
    </w:p>
    <w:p w14:paraId="7553EAE0" w14:textId="374D6CBD"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2" w:history="1">
        <w:r w:rsidR="007E5C13" w:rsidRPr="0011790B">
          <w:rPr>
            <w:rStyle w:val="Lienhypertexte"/>
            <w:noProof/>
          </w:rPr>
          <w:t>C.</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1988-89</w:t>
        </w:r>
        <w:r w:rsidR="007E5C13">
          <w:rPr>
            <w:noProof/>
            <w:webHidden/>
          </w:rPr>
          <w:tab/>
        </w:r>
        <w:r w:rsidR="007E5C13">
          <w:rPr>
            <w:noProof/>
            <w:webHidden/>
          </w:rPr>
          <w:fldChar w:fldCharType="begin"/>
        </w:r>
        <w:r w:rsidR="007E5C13">
          <w:rPr>
            <w:noProof/>
            <w:webHidden/>
          </w:rPr>
          <w:instrText xml:space="preserve"> PAGEREF _Toc96081442 \h </w:instrText>
        </w:r>
        <w:r w:rsidR="007E5C13">
          <w:rPr>
            <w:noProof/>
            <w:webHidden/>
          </w:rPr>
        </w:r>
        <w:r w:rsidR="007E5C13">
          <w:rPr>
            <w:noProof/>
            <w:webHidden/>
          </w:rPr>
          <w:fldChar w:fldCharType="separate"/>
        </w:r>
        <w:r w:rsidR="00E41B12">
          <w:rPr>
            <w:noProof/>
            <w:webHidden/>
          </w:rPr>
          <w:t>9</w:t>
        </w:r>
        <w:r w:rsidR="007E5C13">
          <w:rPr>
            <w:noProof/>
            <w:webHidden/>
          </w:rPr>
          <w:fldChar w:fldCharType="end"/>
        </w:r>
      </w:hyperlink>
    </w:p>
    <w:p w14:paraId="2F669CF2" w14:textId="51925013"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3" w:history="1">
        <w:r w:rsidR="007E5C13" w:rsidRPr="0011790B">
          <w:rPr>
            <w:rStyle w:val="Lienhypertexte"/>
            <w:noProof/>
          </w:rPr>
          <w:t>D.</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1993</w:t>
        </w:r>
        <w:r w:rsidR="007E5C13">
          <w:rPr>
            <w:noProof/>
            <w:webHidden/>
          </w:rPr>
          <w:tab/>
        </w:r>
        <w:r w:rsidR="007E5C13">
          <w:rPr>
            <w:noProof/>
            <w:webHidden/>
          </w:rPr>
          <w:fldChar w:fldCharType="begin"/>
        </w:r>
        <w:r w:rsidR="007E5C13">
          <w:rPr>
            <w:noProof/>
            <w:webHidden/>
          </w:rPr>
          <w:instrText xml:space="preserve"> PAGEREF _Toc96081443 \h </w:instrText>
        </w:r>
        <w:r w:rsidR="007E5C13">
          <w:rPr>
            <w:noProof/>
            <w:webHidden/>
          </w:rPr>
        </w:r>
        <w:r w:rsidR="007E5C13">
          <w:rPr>
            <w:noProof/>
            <w:webHidden/>
          </w:rPr>
          <w:fldChar w:fldCharType="separate"/>
        </w:r>
        <w:r w:rsidR="00E41B12">
          <w:rPr>
            <w:noProof/>
            <w:webHidden/>
          </w:rPr>
          <w:t>12</w:t>
        </w:r>
        <w:r w:rsidR="007E5C13">
          <w:rPr>
            <w:noProof/>
            <w:webHidden/>
          </w:rPr>
          <w:fldChar w:fldCharType="end"/>
        </w:r>
      </w:hyperlink>
    </w:p>
    <w:p w14:paraId="0E9FB646" w14:textId="3F4A7687"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4" w:history="1">
        <w:r w:rsidR="007E5C13" w:rsidRPr="0011790B">
          <w:rPr>
            <w:rStyle w:val="Lienhypertexte"/>
            <w:noProof/>
          </w:rPr>
          <w:t>E.</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2001</w:t>
        </w:r>
        <w:r w:rsidR="007E5C13">
          <w:rPr>
            <w:noProof/>
            <w:webHidden/>
          </w:rPr>
          <w:tab/>
        </w:r>
        <w:r w:rsidR="007E5C13">
          <w:rPr>
            <w:noProof/>
            <w:webHidden/>
          </w:rPr>
          <w:fldChar w:fldCharType="begin"/>
        </w:r>
        <w:r w:rsidR="007E5C13">
          <w:rPr>
            <w:noProof/>
            <w:webHidden/>
          </w:rPr>
          <w:instrText xml:space="preserve"> PAGEREF _Toc96081444 \h </w:instrText>
        </w:r>
        <w:r w:rsidR="007E5C13">
          <w:rPr>
            <w:noProof/>
            <w:webHidden/>
          </w:rPr>
        </w:r>
        <w:r w:rsidR="007E5C13">
          <w:rPr>
            <w:noProof/>
            <w:webHidden/>
          </w:rPr>
          <w:fldChar w:fldCharType="separate"/>
        </w:r>
        <w:r w:rsidR="00E41B12">
          <w:rPr>
            <w:noProof/>
            <w:webHidden/>
          </w:rPr>
          <w:t>13</w:t>
        </w:r>
        <w:r w:rsidR="007E5C13">
          <w:rPr>
            <w:noProof/>
            <w:webHidden/>
          </w:rPr>
          <w:fldChar w:fldCharType="end"/>
        </w:r>
      </w:hyperlink>
    </w:p>
    <w:p w14:paraId="2020646A" w14:textId="3E4EE39E"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5" w:history="1">
        <w:r w:rsidR="007E5C13" w:rsidRPr="0011790B">
          <w:rPr>
            <w:rStyle w:val="Lienhypertexte"/>
            <w:noProof/>
          </w:rPr>
          <w:t>F.</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shd w:val="clear" w:color="auto" w:fill="FFFFFF"/>
          </w:rPr>
          <w:t>La réforme institutionnelle de 2014-2015</w:t>
        </w:r>
        <w:r w:rsidR="007E5C13">
          <w:rPr>
            <w:noProof/>
            <w:webHidden/>
          </w:rPr>
          <w:tab/>
        </w:r>
        <w:r w:rsidR="007E5C13">
          <w:rPr>
            <w:noProof/>
            <w:webHidden/>
          </w:rPr>
          <w:fldChar w:fldCharType="begin"/>
        </w:r>
        <w:r w:rsidR="007E5C13">
          <w:rPr>
            <w:noProof/>
            <w:webHidden/>
          </w:rPr>
          <w:instrText xml:space="preserve"> PAGEREF _Toc96081445 \h </w:instrText>
        </w:r>
        <w:r w:rsidR="007E5C13">
          <w:rPr>
            <w:noProof/>
            <w:webHidden/>
          </w:rPr>
        </w:r>
        <w:r w:rsidR="007E5C13">
          <w:rPr>
            <w:noProof/>
            <w:webHidden/>
          </w:rPr>
          <w:fldChar w:fldCharType="separate"/>
        </w:r>
        <w:r w:rsidR="00E41B12">
          <w:rPr>
            <w:noProof/>
            <w:webHidden/>
          </w:rPr>
          <w:t>14</w:t>
        </w:r>
        <w:r w:rsidR="007E5C13">
          <w:rPr>
            <w:noProof/>
            <w:webHidden/>
          </w:rPr>
          <w:fldChar w:fldCharType="end"/>
        </w:r>
      </w:hyperlink>
    </w:p>
    <w:p w14:paraId="15B8E6D7" w14:textId="7F41055B" w:rsidR="007E5C13" w:rsidRDefault="00351BB9">
      <w:pPr>
        <w:pStyle w:val="TM1"/>
        <w:tabs>
          <w:tab w:val="left" w:pos="720"/>
        </w:tabs>
        <w:rPr>
          <w:rFonts w:asciiTheme="minorHAnsi" w:eastAsiaTheme="minorEastAsia" w:hAnsiTheme="minorHAnsi" w:cstheme="minorBidi"/>
          <w:b w:val="0"/>
          <w:caps w:val="0"/>
          <w:noProof/>
          <w:spacing w:val="0"/>
          <w:sz w:val="22"/>
          <w:szCs w:val="22"/>
          <w:lang w:eastAsia="fr-BE"/>
        </w:rPr>
      </w:pPr>
      <w:hyperlink w:anchor="_Toc96081446" w:history="1">
        <w:r w:rsidR="007E5C13" w:rsidRPr="0011790B">
          <w:rPr>
            <w:rStyle w:val="Lienhypertexte"/>
            <w:noProof/>
          </w:rPr>
          <w:t>III.</w:t>
        </w:r>
        <w:r w:rsidR="007E5C13">
          <w:rPr>
            <w:rFonts w:asciiTheme="minorHAnsi" w:eastAsiaTheme="minorEastAsia" w:hAnsiTheme="minorHAnsi" w:cstheme="minorBidi"/>
            <w:b w:val="0"/>
            <w:caps w:val="0"/>
            <w:noProof/>
            <w:spacing w:val="0"/>
            <w:sz w:val="22"/>
            <w:szCs w:val="22"/>
            <w:lang w:eastAsia="fr-BE"/>
          </w:rPr>
          <w:tab/>
        </w:r>
        <w:r w:rsidR="007E5C13" w:rsidRPr="0011790B">
          <w:rPr>
            <w:rStyle w:val="Lienhypertexte"/>
            <w:noProof/>
          </w:rPr>
          <w:t>La construction d’un modèle fédéral asymétrique</w:t>
        </w:r>
        <w:r w:rsidR="007E5C13">
          <w:rPr>
            <w:noProof/>
            <w:webHidden/>
          </w:rPr>
          <w:tab/>
        </w:r>
        <w:r w:rsidR="007E5C13">
          <w:rPr>
            <w:noProof/>
            <w:webHidden/>
          </w:rPr>
          <w:fldChar w:fldCharType="begin"/>
        </w:r>
        <w:r w:rsidR="007E5C13">
          <w:rPr>
            <w:noProof/>
            <w:webHidden/>
          </w:rPr>
          <w:instrText xml:space="preserve"> PAGEREF _Toc96081446 \h </w:instrText>
        </w:r>
        <w:r w:rsidR="007E5C13">
          <w:rPr>
            <w:noProof/>
            <w:webHidden/>
          </w:rPr>
        </w:r>
        <w:r w:rsidR="007E5C13">
          <w:rPr>
            <w:noProof/>
            <w:webHidden/>
          </w:rPr>
          <w:fldChar w:fldCharType="separate"/>
        </w:r>
        <w:r w:rsidR="00E41B12">
          <w:rPr>
            <w:noProof/>
            <w:webHidden/>
          </w:rPr>
          <w:t>17</w:t>
        </w:r>
        <w:r w:rsidR="007E5C13">
          <w:rPr>
            <w:noProof/>
            <w:webHidden/>
          </w:rPr>
          <w:fldChar w:fldCharType="end"/>
        </w:r>
      </w:hyperlink>
    </w:p>
    <w:p w14:paraId="717C7FA6" w14:textId="55AE2E16"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7" w:history="1">
        <w:r w:rsidR="007E5C13" w:rsidRPr="0011790B">
          <w:rPr>
            <w:rStyle w:val="Lienhypertexte"/>
            <w:noProof/>
          </w:rPr>
          <w:t>A.</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rPr>
          <w:t>La « création » d’une entité flamande unique</w:t>
        </w:r>
        <w:r w:rsidR="007E5C13">
          <w:rPr>
            <w:noProof/>
            <w:webHidden/>
          </w:rPr>
          <w:tab/>
        </w:r>
        <w:r w:rsidR="007E5C13">
          <w:rPr>
            <w:noProof/>
            <w:webHidden/>
          </w:rPr>
          <w:fldChar w:fldCharType="begin"/>
        </w:r>
        <w:r w:rsidR="007E5C13">
          <w:rPr>
            <w:noProof/>
            <w:webHidden/>
          </w:rPr>
          <w:instrText xml:space="preserve"> PAGEREF _Toc96081447 \h </w:instrText>
        </w:r>
        <w:r w:rsidR="007E5C13">
          <w:rPr>
            <w:noProof/>
            <w:webHidden/>
          </w:rPr>
        </w:r>
        <w:r w:rsidR="007E5C13">
          <w:rPr>
            <w:noProof/>
            <w:webHidden/>
          </w:rPr>
          <w:fldChar w:fldCharType="separate"/>
        </w:r>
        <w:r w:rsidR="00E41B12">
          <w:rPr>
            <w:noProof/>
            <w:webHidden/>
          </w:rPr>
          <w:t>17</w:t>
        </w:r>
        <w:r w:rsidR="007E5C13">
          <w:rPr>
            <w:noProof/>
            <w:webHidden/>
          </w:rPr>
          <w:fldChar w:fldCharType="end"/>
        </w:r>
      </w:hyperlink>
    </w:p>
    <w:p w14:paraId="5039F053" w14:textId="3A1E7BE8"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48" w:history="1">
        <w:r w:rsidR="007E5C13" w:rsidRPr="0011790B">
          <w:rPr>
            <w:rStyle w:val="Lienhypertexte"/>
            <w:noProof/>
          </w:rPr>
          <w:t>B.</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rPr>
          <w:t>Les problèmes de financement des institutions francophones</w:t>
        </w:r>
        <w:r w:rsidR="007E5C13">
          <w:rPr>
            <w:noProof/>
            <w:webHidden/>
          </w:rPr>
          <w:tab/>
        </w:r>
        <w:r w:rsidR="007E5C13">
          <w:rPr>
            <w:noProof/>
            <w:webHidden/>
          </w:rPr>
          <w:fldChar w:fldCharType="begin"/>
        </w:r>
        <w:r w:rsidR="007E5C13">
          <w:rPr>
            <w:noProof/>
            <w:webHidden/>
          </w:rPr>
          <w:instrText xml:space="preserve"> PAGEREF _Toc96081448 \h </w:instrText>
        </w:r>
        <w:r w:rsidR="007E5C13">
          <w:rPr>
            <w:noProof/>
            <w:webHidden/>
          </w:rPr>
        </w:r>
        <w:r w:rsidR="007E5C13">
          <w:rPr>
            <w:noProof/>
            <w:webHidden/>
          </w:rPr>
          <w:fldChar w:fldCharType="separate"/>
        </w:r>
        <w:r w:rsidR="00E41B12">
          <w:rPr>
            <w:noProof/>
            <w:webHidden/>
          </w:rPr>
          <w:t>19</w:t>
        </w:r>
        <w:r w:rsidR="007E5C13">
          <w:rPr>
            <w:noProof/>
            <w:webHidden/>
          </w:rPr>
          <w:fldChar w:fldCharType="end"/>
        </w:r>
      </w:hyperlink>
    </w:p>
    <w:p w14:paraId="59C58514" w14:textId="5F140B27"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49" w:history="1">
        <w:r w:rsidR="007E5C13" w:rsidRPr="0011790B">
          <w:rPr>
            <w:rStyle w:val="Lienhypertexte"/>
            <w:noProof/>
          </w:rPr>
          <w:t>1.</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Les prémices des transferts de compétences de la Communauté française vers la Commission communautaire française</w:t>
        </w:r>
        <w:r w:rsidR="007E5C13">
          <w:rPr>
            <w:noProof/>
            <w:webHidden/>
          </w:rPr>
          <w:tab/>
        </w:r>
        <w:r w:rsidR="007E5C13">
          <w:rPr>
            <w:noProof/>
            <w:webHidden/>
          </w:rPr>
          <w:fldChar w:fldCharType="begin"/>
        </w:r>
        <w:r w:rsidR="007E5C13">
          <w:rPr>
            <w:noProof/>
            <w:webHidden/>
          </w:rPr>
          <w:instrText xml:space="preserve"> PAGEREF _Toc96081449 \h </w:instrText>
        </w:r>
        <w:r w:rsidR="007E5C13">
          <w:rPr>
            <w:noProof/>
            <w:webHidden/>
          </w:rPr>
        </w:r>
        <w:r w:rsidR="007E5C13">
          <w:rPr>
            <w:noProof/>
            <w:webHidden/>
          </w:rPr>
          <w:fldChar w:fldCharType="separate"/>
        </w:r>
        <w:r w:rsidR="00E41B12">
          <w:rPr>
            <w:noProof/>
            <w:webHidden/>
          </w:rPr>
          <w:t>19</w:t>
        </w:r>
        <w:r w:rsidR="007E5C13">
          <w:rPr>
            <w:noProof/>
            <w:webHidden/>
          </w:rPr>
          <w:fldChar w:fldCharType="end"/>
        </w:r>
      </w:hyperlink>
    </w:p>
    <w:p w14:paraId="098F43CF" w14:textId="239293FD"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0" w:history="1">
        <w:r w:rsidR="007E5C13" w:rsidRPr="0011790B">
          <w:rPr>
            <w:rStyle w:val="Lienhypertexte"/>
            <w:noProof/>
          </w:rPr>
          <w:t>2.</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Les premiers dispositifs de refinancement de la Communauté française (gestion conjointe d’organismes avec la Région wallonne)</w:t>
        </w:r>
        <w:r w:rsidR="007E5C13">
          <w:rPr>
            <w:noProof/>
            <w:webHidden/>
          </w:rPr>
          <w:tab/>
        </w:r>
        <w:r w:rsidR="007E5C13">
          <w:rPr>
            <w:noProof/>
            <w:webHidden/>
          </w:rPr>
          <w:fldChar w:fldCharType="begin"/>
        </w:r>
        <w:r w:rsidR="007E5C13">
          <w:rPr>
            <w:noProof/>
            <w:webHidden/>
          </w:rPr>
          <w:instrText xml:space="preserve"> PAGEREF _Toc96081450 \h </w:instrText>
        </w:r>
        <w:r w:rsidR="007E5C13">
          <w:rPr>
            <w:noProof/>
            <w:webHidden/>
          </w:rPr>
        </w:r>
        <w:r w:rsidR="007E5C13">
          <w:rPr>
            <w:noProof/>
            <w:webHidden/>
          </w:rPr>
          <w:fldChar w:fldCharType="separate"/>
        </w:r>
        <w:r w:rsidR="00E41B12">
          <w:rPr>
            <w:noProof/>
            <w:webHidden/>
          </w:rPr>
          <w:t>19</w:t>
        </w:r>
        <w:r w:rsidR="007E5C13">
          <w:rPr>
            <w:noProof/>
            <w:webHidden/>
          </w:rPr>
          <w:fldChar w:fldCharType="end"/>
        </w:r>
      </w:hyperlink>
    </w:p>
    <w:p w14:paraId="5829131F" w14:textId="7AE14539"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1" w:history="1">
        <w:r w:rsidR="007E5C13" w:rsidRPr="0011790B">
          <w:rPr>
            <w:rStyle w:val="Lienhypertexte"/>
            <w:noProof/>
          </w:rPr>
          <w:t>3.</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Le refinancement francophone de la Communauté française en 1993 (transfert de compétences à la Région wallonne et la COCOF)</w:t>
        </w:r>
        <w:r w:rsidR="007E5C13">
          <w:rPr>
            <w:noProof/>
            <w:webHidden/>
          </w:rPr>
          <w:tab/>
        </w:r>
        <w:r w:rsidR="007E5C13">
          <w:rPr>
            <w:noProof/>
            <w:webHidden/>
          </w:rPr>
          <w:fldChar w:fldCharType="begin"/>
        </w:r>
        <w:r w:rsidR="007E5C13">
          <w:rPr>
            <w:noProof/>
            <w:webHidden/>
          </w:rPr>
          <w:instrText xml:space="preserve"> PAGEREF _Toc96081451 \h </w:instrText>
        </w:r>
        <w:r w:rsidR="007E5C13">
          <w:rPr>
            <w:noProof/>
            <w:webHidden/>
          </w:rPr>
        </w:r>
        <w:r w:rsidR="007E5C13">
          <w:rPr>
            <w:noProof/>
            <w:webHidden/>
          </w:rPr>
          <w:fldChar w:fldCharType="separate"/>
        </w:r>
        <w:r w:rsidR="00E41B12">
          <w:rPr>
            <w:noProof/>
            <w:webHidden/>
          </w:rPr>
          <w:t>22</w:t>
        </w:r>
        <w:r w:rsidR="007E5C13">
          <w:rPr>
            <w:noProof/>
            <w:webHidden/>
          </w:rPr>
          <w:fldChar w:fldCharType="end"/>
        </w:r>
      </w:hyperlink>
    </w:p>
    <w:p w14:paraId="3ACF6B92" w14:textId="070F54B1"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52" w:history="1">
        <w:r w:rsidR="007E5C13" w:rsidRPr="0011790B">
          <w:rPr>
            <w:rStyle w:val="Lienhypertexte"/>
            <w:noProof/>
          </w:rPr>
          <w:t>C.</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rPr>
          <w:t>Les problèmes financiers de la Région de Bruxelles-Capitale</w:t>
        </w:r>
        <w:r w:rsidR="007E5C13">
          <w:rPr>
            <w:noProof/>
            <w:webHidden/>
          </w:rPr>
          <w:tab/>
        </w:r>
        <w:r w:rsidR="007E5C13">
          <w:rPr>
            <w:noProof/>
            <w:webHidden/>
          </w:rPr>
          <w:fldChar w:fldCharType="begin"/>
        </w:r>
        <w:r w:rsidR="007E5C13">
          <w:rPr>
            <w:noProof/>
            <w:webHidden/>
          </w:rPr>
          <w:instrText xml:space="preserve"> PAGEREF _Toc96081452 \h </w:instrText>
        </w:r>
        <w:r w:rsidR="007E5C13">
          <w:rPr>
            <w:noProof/>
            <w:webHidden/>
          </w:rPr>
        </w:r>
        <w:r w:rsidR="007E5C13">
          <w:rPr>
            <w:noProof/>
            <w:webHidden/>
          </w:rPr>
          <w:fldChar w:fldCharType="separate"/>
        </w:r>
        <w:r w:rsidR="00E41B12">
          <w:rPr>
            <w:noProof/>
            <w:webHidden/>
          </w:rPr>
          <w:t>25</w:t>
        </w:r>
        <w:r w:rsidR="007E5C13">
          <w:rPr>
            <w:noProof/>
            <w:webHidden/>
          </w:rPr>
          <w:fldChar w:fldCharType="end"/>
        </w:r>
      </w:hyperlink>
    </w:p>
    <w:p w14:paraId="425E9BAD" w14:textId="337CCD06"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3" w:history="1">
        <w:r w:rsidR="007E5C13" w:rsidRPr="0011790B">
          <w:rPr>
            <w:rStyle w:val="Lienhypertexte"/>
            <w:noProof/>
          </w:rPr>
          <w:t>1.</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shd w:val="clear" w:color="auto" w:fill="FFFFFF"/>
          </w:rPr>
          <w:t>Les spécificités de la Région de Bruxelles-Capitale</w:t>
        </w:r>
        <w:r w:rsidR="007E5C13">
          <w:rPr>
            <w:noProof/>
            <w:webHidden/>
          </w:rPr>
          <w:tab/>
        </w:r>
        <w:r w:rsidR="007E5C13">
          <w:rPr>
            <w:noProof/>
            <w:webHidden/>
          </w:rPr>
          <w:fldChar w:fldCharType="begin"/>
        </w:r>
        <w:r w:rsidR="007E5C13">
          <w:rPr>
            <w:noProof/>
            <w:webHidden/>
          </w:rPr>
          <w:instrText xml:space="preserve"> PAGEREF _Toc96081453 \h </w:instrText>
        </w:r>
        <w:r w:rsidR="007E5C13">
          <w:rPr>
            <w:noProof/>
            <w:webHidden/>
          </w:rPr>
        </w:r>
        <w:r w:rsidR="007E5C13">
          <w:rPr>
            <w:noProof/>
            <w:webHidden/>
          </w:rPr>
          <w:fldChar w:fldCharType="separate"/>
        </w:r>
        <w:r w:rsidR="00E41B12">
          <w:rPr>
            <w:noProof/>
            <w:webHidden/>
          </w:rPr>
          <w:t>25</w:t>
        </w:r>
        <w:r w:rsidR="007E5C13">
          <w:rPr>
            <w:noProof/>
            <w:webHidden/>
          </w:rPr>
          <w:fldChar w:fldCharType="end"/>
        </w:r>
      </w:hyperlink>
    </w:p>
    <w:p w14:paraId="42871B4E" w14:textId="1771B02A"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4" w:history="1">
        <w:r w:rsidR="007E5C13" w:rsidRPr="0011790B">
          <w:rPr>
            <w:rStyle w:val="Lienhypertexte"/>
            <w:noProof/>
          </w:rPr>
          <w:t>2.</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La prise en compte des réalités bruxelloises dans l’organisation des compétences</w:t>
        </w:r>
        <w:r w:rsidR="007E5C13">
          <w:rPr>
            <w:noProof/>
            <w:webHidden/>
          </w:rPr>
          <w:tab/>
        </w:r>
        <w:r w:rsidR="007E5C13">
          <w:rPr>
            <w:noProof/>
            <w:webHidden/>
          </w:rPr>
          <w:fldChar w:fldCharType="begin"/>
        </w:r>
        <w:r w:rsidR="007E5C13">
          <w:rPr>
            <w:noProof/>
            <w:webHidden/>
          </w:rPr>
          <w:instrText xml:space="preserve"> PAGEREF _Toc96081454 \h </w:instrText>
        </w:r>
        <w:r w:rsidR="007E5C13">
          <w:rPr>
            <w:noProof/>
            <w:webHidden/>
          </w:rPr>
        </w:r>
        <w:r w:rsidR="007E5C13">
          <w:rPr>
            <w:noProof/>
            <w:webHidden/>
          </w:rPr>
          <w:fldChar w:fldCharType="separate"/>
        </w:r>
        <w:r w:rsidR="00E41B12">
          <w:rPr>
            <w:noProof/>
            <w:webHidden/>
          </w:rPr>
          <w:t>26</w:t>
        </w:r>
        <w:r w:rsidR="007E5C13">
          <w:rPr>
            <w:noProof/>
            <w:webHidden/>
          </w:rPr>
          <w:fldChar w:fldCharType="end"/>
        </w:r>
      </w:hyperlink>
    </w:p>
    <w:p w14:paraId="542F68E9" w14:textId="10CF1065"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55" w:history="1">
        <w:r w:rsidR="007E5C13" w:rsidRPr="0011790B">
          <w:rPr>
            <w:rStyle w:val="Lienhypertexte"/>
            <w:noProof/>
          </w:rPr>
          <w:t>D.</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rPr>
          <w:t>Les relations intra-wallonnes</w:t>
        </w:r>
        <w:r w:rsidR="007E5C13">
          <w:rPr>
            <w:noProof/>
            <w:webHidden/>
          </w:rPr>
          <w:tab/>
        </w:r>
        <w:r w:rsidR="007E5C13">
          <w:rPr>
            <w:noProof/>
            <w:webHidden/>
          </w:rPr>
          <w:fldChar w:fldCharType="begin"/>
        </w:r>
        <w:r w:rsidR="007E5C13">
          <w:rPr>
            <w:noProof/>
            <w:webHidden/>
          </w:rPr>
          <w:instrText xml:space="preserve"> PAGEREF _Toc96081455 \h </w:instrText>
        </w:r>
        <w:r w:rsidR="007E5C13">
          <w:rPr>
            <w:noProof/>
            <w:webHidden/>
          </w:rPr>
        </w:r>
        <w:r w:rsidR="007E5C13">
          <w:rPr>
            <w:noProof/>
            <w:webHidden/>
          </w:rPr>
          <w:fldChar w:fldCharType="separate"/>
        </w:r>
        <w:r w:rsidR="00E41B12">
          <w:rPr>
            <w:noProof/>
            <w:webHidden/>
          </w:rPr>
          <w:t>29</w:t>
        </w:r>
        <w:r w:rsidR="007E5C13">
          <w:rPr>
            <w:noProof/>
            <w:webHidden/>
          </w:rPr>
          <w:fldChar w:fldCharType="end"/>
        </w:r>
      </w:hyperlink>
    </w:p>
    <w:p w14:paraId="39D889DD" w14:textId="2EA3CD0B"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6" w:history="1">
        <w:r w:rsidR="007E5C13" w:rsidRPr="0011790B">
          <w:rPr>
            <w:rStyle w:val="Lienhypertexte"/>
            <w:noProof/>
          </w:rPr>
          <w:t>1.</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Les transfert de l’exercice de certaines compétences de la Région wallonne à la Communauté germanophone</w:t>
        </w:r>
        <w:r w:rsidR="007E5C13">
          <w:rPr>
            <w:noProof/>
            <w:webHidden/>
          </w:rPr>
          <w:tab/>
        </w:r>
        <w:r w:rsidR="007E5C13">
          <w:rPr>
            <w:noProof/>
            <w:webHidden/>
          </w:rPr>
          <w:fldChar w:fldCharType="begin"/>
        </w:r>
        <w:r w:rsidR="007E5C13">
          <w:rPr>
            <w:noProof/>
            <w:webHidden/>
          </w:rPr>
          <w:instrText xml:space="preserve"> PAGEREF _Toc96081456 \h </w:instrText>
        </w:r>
        <w:r w:rsidR="007E5C13">
          <w:rPr>
            <w:noProof/>
            <w:webHidden/>
          </w:rPr>
        </w:r>
        <w:r w:rsidR="007E5C13">
          <w:rPr>
            <w:noProof/>
            <w:webHidden/>
          </w:rPr>
          <w:fldChar w:fldCharType="separate"/>
        </w:r>
        <w:r w:rsidR="00E41B12">
          <w:rPr>
            <w:noProof/>
            <w:webHidden/>
          </w:rPr>
          <w:t>29</w:t>
        </w:r>
        <w:r w:rsidR="007E5C13">
          <w:rPr>
            <w:noProof/>
            <w:webHidden/>
          </w:rPr>
          <w:fldChar w:fldCharType="end"/>
        </w:r>
      </w:hyperlink>
    </w:p>
    <w:p w14:paraId="432DA73F" w14:textId="6E8A5BC2" w:rsidR="007E5C13" w:rsidRDefault="00351BB9">
      <w:pPr>
        <w:pStyle w:val="TM3"/>
        <w:tabs>
          <w:tab w:val="left" w:pos="720"/>
        </w:tabs>
        <w:rPr>
          <w:rFonts w:asciiTheme="minorHAnsi" w:eastAsiaTheme="minorEastAsia" w:hAnsiTheme="minorHAnsi" w:cstheme="minorBidi"/>
          <w:i w:val="0"/>
          <w:noProof/>
          <w:spacing w:val="0"/>
          <w:sz w:val="22"/>
          <w:szCs w:val="22"/>
          <w:lang w:eastAsia="fr-BE"/>
        </w:rPr>
      </w:pPr>
      <w:hyperlink w:anchor="_Toc96081457" w:history="1">
        <w:r w:rsidR="007E5C13" w:rsidRPr="0011790B">
          <w:rPr>
            <w:rStyle w:val="Lienhypertexte"/>
            <w:noProof/>
          </w:rPr>
          <w:t>2.</w:t>
        </w:r>
        <w:r w:rsidR="007E5C13">
          <w:rPr>
            <w:rFonts w:asciiTheme="minorHAnsi" w:eastAsiaTheme="minorEastAsia" w:hAnsiTheme="minorHAnsi" w:cstheme="minorBidi"/>
            <w:i w:val="0"/>
            <w:noProof/>
            <w:spacing w:val="0"/>
            <w:sz w:val="22"/>
            <w:szCs w:val="22"/>
            <w:lang w:eastAsia="fr-BE"/>
          </w:rPr>
          <w:tab/>
        </w:r>
        <w:r w:rsidR="007E5C13" w:rsidRPr="0011790B">
          <w:rPr>
            <w:rStyle w:val="Lienhypertexte"/>
            <w:noProof/>
          </w:rPr>
          <w:t>Les enjeux pour la Communauté germanophone</w:t>
        </w:r>
        <w:r w:rsidR="007E5C13">
          <w:rPr>
            <w:noProof/>
            <w:webHidden/>
          </w:rPr>
          <w:tab/>
        </w:r>
        <w:r w:rsidR="007E5C13">
          <w:rPr>
            <w:noProof/>
            <w:webHidden/>
          </w:rPr>
          <w:fldChar w:fldCharType="begin"/>
        </w:r>
        <w:r w:rsidR="007E5C13">
          <w:rPr>
            <w:noProof/>
            <w:webHidden/>
          </w:rPr>
          <w:instrText xml:space="preserve"> PAGEREF _Toc96081457 \h </w:instrText>
        </w:r>
        <w:r w:rsidR="007E5C13">
          <w:rPr>
            <w:noProof/>
            <w:webHidden/>
          </w:rPr>
        </w:r>
        <w:r w:rsidR="007E5C13">
          <w:rPr>
            <w:noProof/>
            <w:webHidden/>
          </w:rPr>
          <w:fldChar w:fldCharType="separate"/>
        </w:r>
        <w:r w:rsidR="00E41B12">
          <w:rPr>
            <w:noProof/>
            <w:webHidden/>
          </w:rPr>
          <w:t>30</w:t>
        </w:r>
        <w:r w:rsidR="007E5C13">
          <w:rPr>
            <w:noProof/>
            <w:webHidden/>
          </w:rPr>
          <w:fldChar w:fldCharType="end"/>
        </w:r>
      </w:hyperlink>
    </w:p>
    <w:p w14:paraId="4975EC0F" w14:textId="3975A399" w:rsidR="007E5C13" w:rsidRDefault="00351BB9">
      <w:pPr>
        <w:pStyle w:val="TM2"/>
        <w:tabs>
          <w:tab w:val="left" w:pos="480"/>
        </w:tabs>
        <w:rPr>
          <w:rFonts w:asciiTheme="minorHAnsi" w:eastAsiaTheme="minorEastAsia" w:hAnsiTheme="minorHAnsi" w:cstheme="minorBidi"/>
          <w:smallCaps w:val="0"/>
          <w:noProof/>
          <w:spacing w:val="0"/>
          <w:sz w:val="22"/>
          <w:szCs w:val="22"/>
          <w:lang w:eastAsia="fr-BE"/>
        </w:rPr>
      </w:pPr>
      <w:hyperlink w:anchor="_Toc96081458" w:history="1">
        <w:r w:rsidR="007E5C13" w:rsidRPr="0011790B">
          <w:rPr>
            <w:rStyle w:val="Lienhypertexte"/>
            <w:noProof/>
          </w:rPr>
          <w:t>E.</w:t>
        </w:r>
        <w:r w:rsidR="007E5C13">
          <w:rPr>
            <w:rFonts w:asciiTheme="minorHAnsi" w:eastAsiaTheme="minorEastAsia" w:hAnsiTheme="minorHAnsi" w:cstheme="minorBidi"/>
            <w:smallCaps w:val="0"/>
            <w:noProof/>
            <w:spacing w:val="0"/>
            <w:sz w:val="22"/>
            <w:szCs w:val="22"/>
            <w:lang w:eastAsia="fr-BE"/>
          </w:rPr>
          <w:tab/>
        </w:r>
        <w:r w:rsidR="007E5C13" w:rsidRPr="0011790B">
          <w:rPr>
            <w:rStyle w:val="Lienhypertexte"/>
            <w:noProof/>
          </w:rPr>
          <w:t>Les provinces dans la Belgique fédérale et leurs relations avec les entités fédérées</w:t>
        </w:r>
        <w:r w:rsidR="007E5C13">
          <w:rPr>
            <w:noProof/>
            <w:webHidden/>
          </w:rPr>
          <w:tab/>
        </w:r>
        <w:r w:rsidR="007E5C13">
          <w:rPr>
            <w:noProof/>
            <w:webHidden/>
          </w:rPr>
          <w:fldChar w:fldCharType="begin"/>
        </w:r>
        <w:r w:rsidR="007E5C13">
          <w:rPr>
            <w:noProof/>
            <w:webHidden/>
          </w:rPr>
          <w:instrText xml:space="preserve"> PAGEREF _Toc96081458 \h </w:instrText>
        </w:r>
        <w:r w:rsidR="007E5C13">
          <w:rPr>
            <w:noProof/>
            <w:webHidden/>
          </w:rPr>
        </w:r>
        <w:r w:rsidR="007E5C13">
          <w:rPr>
            <w:noProof/>
            <w:webHidden/>
          </w:rPr>
          <w:fldChar w:fldCharType="separate"/>
        </w:r>
        <w:r w:rsidR="00E41B12">
          <w:rPr>
            <w:noProof/>
            <w:webHidden/>
          </w:rPr>
          <w:t>31</w:t>
        </w:r>
        <w:r w:rsidR="007E5C13">
          <w:rPr>
            <w:noProof/>
            <w:webHidden/>
          </w:rPr>
          <w:fldChar w:fldCharType="end"/>
        </w:r>
      </w:hyperlink>
    </w:p>
    <w:p w14:paraId="4BEDE2ED" w14:textId="1FCDDAE1" w:rsidR="007E5C13" w:rsidRDefault="00351BB9">
      <w:pPr>
        <w:pStyle w:val="TM1"/>
        <w:tabs>
          <w:tab w:val="left" w:pos="720"/>
        </w:tabs>
        <w:rPr>
          <w:rFonts w:asciiTheme="minorHAnsi" w:eastAsiaTheme="minorEastAsia" w:hAnsiTheme="minorHAnsi" w:cstheme="minorBidi"/>
          <w:b w:val="0"/>
          <w:caps w:val="0"/>
          <w:noProof/>
          <w:spacing w:val="0"/>
          <w:sz w:val="22"/>
          <w:szCs w:val="22"/>
          <w:lang w:eastAsia="fr-BE"/>
        </w:rPr>
      </w:pPr>
      <w:hyperlink w:anchor="_Toc96081459" w:history="1">
        <w:r w:rsidR="007E5C13" w:rsidRPr="0011790B">
          <w:rPr>
            <w:rStyle w:val="Lienhypertexte"/>
            <w:noProof/>
          </w:rPr>
          <w:t>IV.</w:t>
        </w:r>
        <w:r w:rsidR="007E5C13">
          <w:rPr>
            <w:rFonts w:asciiTheme="minorHAnsi" w:eastAsiaTheme="minorEastAsia" w:hAnsiTheme="minorHAnsi" w:cstheme="minorBidi"/>
            <w:b w:val="0"/>
            <w:caps w:val="0"/>
            <w:noProof/>
            <w:spacing w:val="0"/>
            <w:sz w:val="22"/>
            <w:szCs w:val="22"/>
            <w:lang w:eastAsia="fr-BE"/>
          </w:rPr>
          <w:tab/>
        </w:r>
        <w:r w:rsidR="007E5C13" w:rsidRPr="0011790B">
          <w:rPr>
            <w:rStyle w:val="Lienhypertexte"/>
            <w:noProof/>
          </w:rPr>
          <w:t>Le système fédéral belge asymétrique</w:t>
        </w:r>
        <w:r w:rsidR="007E5C13">
          <w:rPr>
            <w:noProof/>
            <w:webHidden/>
          </w:rPr>
          <w:tab/>
        </w:r>
        <w:r w:rsidR="007E5C13">
          <w:rPr>
            <w:noProof/>
            <w:webHidden/>
          </w:rPr>
          <w:fldChar w:fldCharType="begin"/>
        </w:r>
        <w:r w:rsidR="007E5C13">
          <w:rPr>
            <w:noProof/>
            <w:webHidden/>
          </w:rPr>
          <w:instrText xml:space="preserve"> PAGEREF _Toc96081459 \h </w:instrText>
        </w:r>
        <w:r w:rsidR="007E5C13">
          <w:rPr>
            <w:noProof/>
            <w:webHidden/>
          </w:rPr>
        </w:r>
        <w:r w:rsidR="007E5C13">
          <w:rPr>
            <w:noProof/>
            <w:webHidden/>
          </w:rPr>
          <w:fldChar w:fldCharType="separate"/>
        </w:r>
        <w:r w:rsidR="00E41B12">
          <w:rPr>
            <w:noProof/>
            <w:webHidden/>
          </w:rPr>
          <w:t>33</w:t>
        </w:r>
        <w:r w:rsidR="007E5C13">
          <w:rPr>
            <w:noProof/>
            <w:webHidden/>
          </w:rPr>
          <w:fldChar w:fldCharType="end"/>
        </w:r>
      </w:hyperlink>
    </w:p>
    <w:p w14:paraId="68EA59D2" w14:textId="00277206" w:rsidR="007E5C13" w:rsidRDefault="007E5C13" w:rsidP="00FC561F">
      <w:pPr>
        <w:spacing w:after="120" w:line="360" w:lineRule="auto"/>
        <w:jc w:val="both"/>
      </w:pPr>
      <w:r>
        <w:fldChar w:fldCharType="end"/>
      </w:r>
    </w:p>
    <w:p w14:paraId="3248C8E4" w14:textId="1D2E80BB" w:rsidR="00A55CD4" w:rsidRPr="00A55CD4" w:rsidRDefault="00A55CD4" w:rsidP="00A55CD4">
      <w:pPr>
        <w:pStyle w:val="Titre1"/>
        <w:rPr>
          <w:color w:val="214998"/>
          <w:lang w:val="fr-FR"/>
        </w:rPr>
      </w:pPr>
      <w:bookmarkStart w:id="1" w:name="_Toc96081438"/>
      <w:r w:rsidRPr="00A55CD4">
        <w:rPr>
          <w:color w:val="214998"/>
          <w:lang w:val="fr-FR"/>
        </w:rPr>
        <w:t>Introduction</w:t>
      </w:r>
      <w:bookmarkEnd w:id="1"/>
    </w:p>
    <w:p w14:paraId="48424B1F" w14:textId="2B0D19E0" w:rsidR="00A55CD4" w:rsidRDefault="00A55CD4" w:rsidP="00A55CD4">
      <w:pPr>
        <w:ind w:right="-284"/>
        <w:rPr>
          <w:color w:val="0070C0"/>
          <w:u w:val="single"/>
        </w:rPr>
      </w:pP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sidRPr="00A22819">
        <w:rPr>
          <w:color w:val="0070C0"/>
          <w:u w:val="single"/>
        </w:rPr>
        <w:tab/>
      </w:r>
      <w:r>
        <w:rPr>
          <w:color w:val="0070C0"/>
          <w:u w:val="single"/>
        </w:rPr>
        <w:tab/>
      </w:r>
      <w:r>
        <w:rPr>
          <w:color w:val="0070C0"/>
          <w:u w:val="single"/>
        </w:rPr>
        <w:tab/>
      </w:r>
    </w:p>
    <w:p w14:paraId="30A66611" w14:textId="77777777" w:rsidR="00A55CD4" w:rsidRPr="00A55CD4" w:rsidRDefault="00A55CD4" w:rsidP="00A55CD4">
      <w:pPr>
        <w:ind w:right="-284"/>
        <w:rPr>
          <w:color w:val="0070C0"/>
          <w:u w:val="single"/>
        </w:rPr>
      </w:pPr>
    </w:p>
    <w:p w14:paraId="2361065A" w14:textId="0FABAE16" w:rsidR="00C32B0E" w:rsidRDefault="0027142D" w:rsidP="00FC561F">
      <w:pPr>
        <w:spacing w:after="120" w:line="360" w:lineRule="auto"/>
        <w:jc w:val="both"/>
      </w:pPr>
      <w:r>
        <w:t>La Belgique est, officiellement</w:t>
      </w:r>
      <w:r w:rsidR="00486CD8">
        <w:t xml:space="preserve"> depuis 1993</w:t>
      </w:r>
      <w:r>
        <w:t xml:space="preserve">, </w:t>
      </w:r>
      <w:r w:rsidR="00E7590E">
        <w:t xml:space="preserve">un pays </w:t>
      </w:r>
      <w:r>
        <w:t xml:space="preserve">fédéral. </w:t>
      </w:r>
      <w:r w:rsidR="00922706">
        <w:t>L’</w:t>
      </w:r>
      <w:r w:rsidRPr="004D4E4A">
        <w:t>article 1</w:t>
      </w:r>
      <w:r w:rsidRPr="004D4E4A">
        <w:rPr>
          <w:vertAlign w:val="superscript"/>
        </w:rPr>
        <w:t>er</w:t>
      </w:r>
      <w:r w:rsidRPr="004D4E4A">
        <w:t xml:space="preserve"> de la Constitution</w:t>
      </w:r>
      <w:r w:rsidR="00922706">
        <w:t xml:space="preserve"> précise : </w:t>
      </w:r>
      <w:r w:rsidRPr="004D4E4A">
        <w:t>« </w:t>
      </w:r>
      <w:r w:rsidRPr="00FF4095">
        <w:rPr>
          <w:i/>
        </w:rPr>
        <w:t xml:space="preserve">la Belgique est un Etat fédéral qui se compose des </w:t>
      </w:r>
      <w:r>
        <w:rPr>
          <w:i/>
        </w:rPr>
        <w:t>c</w:t>
      </w:r>
      <w:r w:rsidRPr="00FF4095">
        <w:rPr>
          <w:i/>
        </w:rPr>
        <w:t xml:space="preserve">ommunautés et des </w:t>
      </w:r>
      <w:r>
        <w:rPr>
          <w:i/>
        </w:rPr>
        <w:t>r</w:t>
      </w:r>
      <w:r w:rsidRPr="00FF4095">
        <w:rPr>
          <w:i/>
        </w:rPr>
        <w:t>égions</w:t>
      </w:r>
      <w:r w:rsidRPr="004D4E4A">
        <w:t xml:space="preserve"> ». Les articles 2 et 3 </w:t>
      </w:r>
      <w:r w:rsidR="00922706">
        <w:t xml:space="preserve">complètent </w:t>
      </w:r>
      <w:r w:rsidRPr="004D4E4A">
        <w:t>: « </w:t>
      </w:r>
      <w:r w:rsidRPr="00FF4095">
        <w:rPr>
          <w:i/>
        </w:rPr>
        <w:t xml:space="preserve">La Belgique comprend trois </w:t>
      </w:r>
      <w:r>
        <w:rPr>
          <w:bCs/>
          <w:i/>
        </w:rPr>
        <w:t>c</w:t>
      </w:r>
      <w:r w:rsidRPr="00FF4095">
        <w:rPr>
          <w:bCs/>
          <w:i/>
        </w:rPr>
        <w:t>ommunautés</w:t>
      </w:r>
      <w:r w:rsidRPr="00FF4095">
        <w:rPr>
          <w:b/>
          <w:bCs/>
          <w:i/>
        </w:rPr>
        <w:t> </w:t>
      </w:r>
      <w:r w:rsidRPr="00FF4095">
        <w:rPr>
          <w:i/>
        </w:rPr>
        <w:t>: la Communauté française, la Communauté flamande et la Communauté germanophone</w:t>
      </w:r>
      <w:r w:rsidRPr="004D4E4A">
        <w:t> »</w:t>
      </w:r>
      <w:r>
        <w:t> </w:t>
      </w:r>
      <w:r w:rsidR="00922706">
        <w:t>et</w:t>
      </w:r>
      <w:r w:rsidRPr="004D4E4A">
        <w:t xml:space="preserve"> « </w:t>
      </w:r>
      <w:r w:rsidRPr="00FF4095">
        <w:rPr>
          <w:i/>
        </w:rPr>
        <w:t xml:space="preserve">La Belgique comprend trois </w:t>
      </w:r>
      <w:r>
        <w:rPr>
          <w:i/>
        </w:rPr>
        <w:t>r</w:t>
      </w:r>
      <w:r w:rsidRPr="00FF4095">
        <w:rPr>
          <w:bCs/>
          <w:i/>
        </w:rPr>
        <w:t>égions</w:t>
      </w:r>
      <w:r w:rsidRPr="00FF4095">
        <w:rPr>
          <w:b/>
          <w:bCs/>
          <w:i/>
        </w:rPr>
        <w:t> </w:t>
      </w:r>
      <w:r w:rsidRPr="00FF4095">
        <w:rPr>
          <w:i/>
        </w:rPr>
        <w:t>: la Région wallonne, la Région flamande et la Région bruxelloise</w:t>
      </w:r>
      <w:r w:rsidRPr="004D4E4A">
        <w:t> ».</w:t>
      </w:r>
      <w:r>
        <w:t xml:space="preserve"> </w:t>
      </w:r>
      <w:r w:rsidR="00C32B0E">
        <w:t>Cette</w:t>
      </w:r>
      <w:r>
        <w:t xml:space="preserve"> structure fédérale à « 3 +3 » (3 Communautés </w:t>
      </w:r>
      <w:r w:rsidR="000F048D">
        <w:t>et</w:t>
      </w:r>
      <w:r>
        <w:t xml:space="preserve"> 3 Régions) </w:t>
      </w:r>
      <w:r w:rsidR="00455879">
        <w:t xml:space="preserve">qui </w:t>
      </w:r>
      <w:r w:rsidR="00166D37">
        <w:t xml:space="preserve">s’est construite </w:t>
      </w:r>
      <w:r w:rsidR="00455879">
        <w:t xml:space="preserve">très </w:t>
      </w:r>
      <w:r w:rsidR="00166D37">
        <w:lastRenderedPageBreak/>
        <w:t xml:space="preserve">progressivement au fil des réformes institutionnelles depuis 1970 </w:t>
      </w:r>
      <w:r w:rsidR="00455879">
        <w:t>est,</w:t>
      </w:r>
      <w:r w:rsidR="00486CD8">
        <w:t xml:space="preserve"> en réalité, </w:t>
      </w:r>
      <w:r>
        <w:t>bien plus complexe</w:t>
      </w:r>
      <w:r w:rsidR="00B46233">
        <w:t xml:space="preserve"> qu’il n’y parait</w:t>
      </w:r>
      <w:r>
        <w:t xml:space="preserve">. </w:t>
      </w:r>
      <w:r w:rsidR="00486CD8">
        <w:t>Concrètement</w:t>
      </w:r>
      <w:r w:rsidR="00E7590E">
        <w:t>,</w:t>
      </w:r>
      <w:r>
        <w:t xml:space="preserve"> ce sont 3 Communautés, 3 Régions et 3 Commissions communautaires qui se partagent </w:t>
      </w:r>
      <w:r w:rsidR="00913998">
        <w:t xml:space="preserve">aujourd’hui </w:t>
      </w:r>
      <w:r>
        <w:t>les compétences au niveau des entités fédérées</w:t>
      </w:r>
      <w:r w:rsidR="00B46233">
        <w:t xml:space="preserve"> (modèle à 3 + 3 + 3)</w:t>
      </w:r>
      <w:r>
        <w:t xml:space="preserve">. </w:t>
      </w:r>
    </w:p>
    <w:p w14:paraId="3E5182F2" w14:textId="4015ABA5" w:rsidR="00B46233" w:rsidRDefault="00913998" w:rsidP="00FC561F">
      <w:pPr>
        <w:spacing w:after="120" w:line="360" w:lineRule="auto"/>
        <w:jc w:val="both"/>
      </w:pPr>
      <w:r>
        <w:t xml:space="preserve">Cependant, </w:t>
      </w:r>
      <w:r w:rsidR="00E7590E">
        <w:t xml:space="preserve">pour répondre à la volonté de créer une entité flamande unique, </w:t>
      </w:r>
      <w:r w:rsidR="0027142D">
        <w:t xml:space="preserve">pour </w:t>
      </w:r>
      <w:r w:rsidR="00E7590E">
        <w:t>tenir compte des spécificités linguistiques</w:t>
      </w:r>
      <w:r w:rsidR="009522E2">
        <w:t xml:space="preserve"> et culturelles</w:t>
      </w:r>
      <w:r w:rsidR="00E7590E">
        <w:t xml:space="preserve"> en </w:t>
      </w:r>
      <w:r w:rsidR="0027142D">
        <w:t xml:space="preserve">Région de Bruxelles-Capitale, </w:t>
      </w:r>
      <w:r w:rsidR="00E7590E">
        <w:t xml:space="preserve">pour </w:t>
      </w:r>
      <w:r w:rsidR="00166D37">
        <w:t xml:space="preserve">organiser un soutien financier francophone </w:t>
      </w:r>
      <w:r w:rsidR="00B46233">
        <w:t>à</w:t>
      </w:r>
      <w:r w:rsidR="00166D37">
        <w:t xml:space="preserve"> l</w:t>
      </w:r>
      <w:r w:rsidR="00E7590E">
        <w:t xml:space="preserve">a </w:t>
      </w:r>
      <w:r w:rsidR="0027142D">
        <w:t xml:space="preserve">Communauté française et </w:t>
      </w:r>
      <w:r w:rsidR="00E7590E">
        <w:t xml:space="preserve">pour répondre </w:t>
      </w:r>
      <w:r w:rsidR="0027142D">
        <w:t xml:space="preserve">aux souhaits de la Communauté germanophone de devenir une </w:t>
      </w:r>
      <w:r w:rsidR="00B46233">
        <w:t xml:space="preserve">entité </w:t>
      </w:r>
      <w:r w:rsidR="00166D37">
        <w:t>« </w:t>
      </w:r>
      <w:r w:rsidR="0027142D">
        <w:t>Région-Communauté</w:t>
      </w:r>
      <w:r w:rsidR="00166D37">
        <w:t> »</w:t>
      </w:r>
      <w:r w:rsidR="0027142D">
        <w:t xml:space="preserve">, </w:t>
      </w:r>
      <w:r w:rsidR="00E7590E">
        <w:t xml:space="preserve">des dispositifs particuliers de la Constitution ont permis de faire évoluer le </w:t>
      </w:r>
      <w:r w:rsidR="00B46233">
        <w:t xml:space="preserve">fédéralisme </w:t>
      </w:r>
      <w:r w:rsidR="00E7590E">
        <w:t xml:space="preserve">belge vers un modèle totalement asymétrique tant sur </w:t>
      </w:r>
      <w:r w:rsidR="0027142D">
        <w:t xml:space="preserve">la répartition des compétences </w:t>
      </w:r>
      <w:r w:rsidR="00E7590E">
        <w:t xml:space="preserve">que </w:t>
      </w:r>
      <w:r w:rsidR="000F048D">
        <w:t>sur son</w:t>
      </w:r>
      <w:r w:rsidR="0027142D">
        <w:t xml:space="preserve"> financement</w:t>
      </w:r>
      <w:r w:rsidR="00E7590E">
        <w:t xml:space="preserve">. C’est probablement cette asymétrie </w:t>
      </w:r>
      <w:r w:rsidR="000F048D">
        <w:t>en matière de compétences et de</w:t>
      </w:r>
      <w:r w:rsidR="00873FC8">
        <w:t xml:space="preserve"> ressources financières</w:t>
      </w:r>
      <w:r w:rsidR="000F048D">
        <w:t xml:space="preserve"> </w:t>
      </w:r>
      <w:r w:rsidR="00E7590E">
        <w:t xml:space="preserve">qui </w:t>
      </w:r>
      <w:r w:rsidR="009522E2">
        <w:t xml:space="preserve">le </w:t>
      </w:r>
      <w:r w:rsidR="00E7590E">
        <w:t>rend</w:t>
      </w:r>
      <w:r w:rsidR="000F048D">
        <w:t xml:space="preserve"> particulièrement atypique et </w:t>
      </w:r>
      <w:r w:rsidR="00E7590E">
        <w:t xml:space="preserve">incompréhensible pour </w:t>
      </w:r>
      <w:r w:rsidR="00964A2D">
        <w:t>les observateurs non avertis</w:t>
      </w:r>
      <w:r w:rsidR="00E7590E">
        <w:t xml:space="preserve">. </w:t>
      </w:r>
      <w:r w:rsidR="00873FC8">
        <w:t>Même si l</w:t>
      </w:r>
      <w:r w:rsidR="00310845">
        <w:t>e fédéralisme belge est</w:t>
      </w:r>
      <w:r w:rsidR="00873FC8">
        <w:t xml:space="preserve"> </w:t>
      </w:r>
      <w:r w:rsidR="00310845">
        <w:t>le résultat de compromis institutionnels historiques fondés sur le souci de pacifier les relations entre</w:t>
      </w:r>
      <w:r w:rsidR="00981885">
        <w:t xml:space="preserve"> les populations des différentes entités de la Belgique</w:t>
      </w:r>
      <w:r w:rsidR="00873FC8">
        <w:t xml:space="preserve">, </w:t>
      </w:r>
      <w:r w:rsidR="008079EF">
        <w:t xml:space="preserve">cet article </w:t>
      </w:r>
      <w:r w:rsidR="00794FB4">
        <w:t xml:space="preserve">cherche à </w:t>
      </w:r>
      <w:r w:rsidR="008079EF">
        <w:t xml:space="preserve">démontrer à quel point les aspects liés aux finances publiques peuvent expliquer cette structure atypique et son évolution </w:t>
      </w:r>
      <w:r w:rsidR="003D2C83">
        <w:t xml:space="preserve">non seulement passée mais aussi </w:t>
      </w:r>
      <w:r w:rsidR="008079EF">
        <w:t xml:space="preserve">future. </w:t>
      </w:r>
      <w:r w:rsidR="00794FB4">
        <w:t>Il ne s’agit pas de réaliser une</w:t>
      </w:r>
      <w:r w:rsidR="008079EF">
        <w:t xml:space="preserve"> analyse juridique ou politique du fédéralisme belge</w:t>
      </w:r>
      <w:r w:rsidR="00981885">
        <w:rPr>
          <w:rStyle w:val="Appelnotedebasdep"/>
          <w:b/>
          <w:bCs/>
        </w:rPr>
        <w:footnoteReference w:id="2"/>
      </w:r>
      <w:r w:rsidR="008079EF">
        <w:t xml:space="preserve"> mais </w:t>
      </w:r>
      <w:r w:rsidR="00794FB4">
        <w:t xml:space="preserve">d’apporter un regard différent par </w:t>
      </w:r>
      <w:r w:rsidR="008079EF">
        <w:t>les finances publiques.</w:t>
      </w:r>
    </w:p>
    <w:p w14:paraId="26FA6E72" w14:textId="495C7BA8" w:rsidR="00C32B0E" w:rsidRDefault="009522E2" w:rsidP="00FC561F">
      <w:pPr>
        <w:spacing w:after="120" w:line="360" w:lineRule="auto"/>
        <w:jc w:val="both"/>
      </w:pPr>
      <w:r>
        <w:t>Pour mieux appréhender les enjeux, l</w:t>
      </w:r>
      <w:r w:rsidR="00257AF2">
        <w:t xml:space="preserve">e tableau </w:t>
      </w:r>
      <w:r w:rsidR="00794FB4">
        <w:t>ci-dessous</w:t>
      </w:r>
      <w:r w:rsidR="00257AF2">
        <w:t xml:space="preserve"> présente quelques statistiques budgétaires de la Belgique fédérale. </w:t>
      </w:r>
      <w:r w:rsidR="00D10735">
        <w:t xml:space="preserve">Il apparait clairement que l’autorité fédérale </w:t>
      </w:r>
      <w:r w:rsidR="003D2C83">
        <w:t xml:space="preserve">(en dehors de la </w:t>
      </w:r>
      <w:r w:rsidR="00804DBF">
        <w:t>s</w:t>
      </w:r>
      <w:r w:rsidR="003D2C83">
        <w:t xml:space="preserve">écurité sociale) </w:t>
      </w:r>
      <w:r w:rsidR="00D10735">
        <w:t>représente un poids budgétaire bien inférieur à celui des entités fédérées</w:t>
      </w:r>
      <w:r w:rsidR="003D2C83">
        <w:t xml:space="preserve">. Les </w:t>
      </w:r>
      <w:r w:rsidR="00D10735">
        <w:t>dépenses publiques</w:t>
      </w:r>
      <w:r w:rsidR="003D2C83">
        <w:t xml:space="preserve"> </w:t>
      </w:r>
      <w:r>
        <w:t xml:space="preserve">primaires </w:t>
      </w:r>
      <w:r w:rsidR="003D2C83">
        <w:t>de l’autorité fédérale sont</w:t>
      </w:r>
      <w:r w:rsidR="00D10735">
        <w:t xml:space="preserve"> estimées à 14,2% du PIB</w:t>
      </w:r>
      <w:r w:rsidR="00981885">
        <w:t xml:space="preserve"> en 2019</w:t>
      </w:r>
      <w:r w:rsidR="00D10735">
        <w:t xml:space="preserve"> à </w:t>
      </w:r>
      <w:r w:rsidR="00D10735">
        <w:lastRenderedPageBreak/>
        <w:t xml:space="preserve">comparer </w:t>
      </w:r>
      <w:r w:rsidR="003D2C83">
        <w:t xml:space="preserve">aux </w:t>
      </w:r>
      <w:r w:rsidR="00D10735">
        <w:t>16</w:t>
      </w:r>
      <w:r w:rsidR="003D2C83">
        <w:t>,</w:t>
      </w:r>
      <w:r w:rsidR="00D10735">
        <w:t xml:space="preserve">8% </w:t>
      </w:r>
      <w:r>
        <w:t>des</w:t>
      </w:r>
      <w:r w:rsidR="00D10735">
        <w:t xml:space="preserve"> entités fédérées. Par ailleurs, 8,6%</w:t>
      </w:r>
      <w:r w:rsidR="003D2C83">
        <w:t xml:space="preserve"> </w:t>
      </w:r>
      <w:r w:rsidR="00455879">
        <w:t xml:space="preserve">point de pourcentage </w:t>
      </w:r>
      <w:r w:rsidR="00794FB4">
        <w:t xml:space="preserve">des dépenses primaires fédérales </w:t>
      </w:r>
      <w:r>
        <w:t xml:space="preserve">sont </w:t>
      </w:r>
      <w:r w:rsidR="00D10735">
        <w:t xml:space="preserve">des transferts budgétaires à d’autres niveaux de pouvoir dont la </w:t>
      </w:r>
      <w:r w:rsidR="00392843">
        <w:t>S</w:t>
      </w:r>
      <w:r w:rsidR="00D10735">
        <w:t xml:space="preserve">écurité sociale et les entités fédérées, ce qui met en évidence </w:t>
      </w:r>
      <w:r w:rsidR="00635500">
        <w:t xml:space="preserve">le poids </w:t>
      </w:r>
      <w:r w:rsidR="00392843">
        <w:t>que représentent aujourd’hui l</w:t>
      </w:r>
      <w:r w:rsidR="00635500">
        <w:t>es entités fédérées dans les politiques publiques belges</w:t>
      </w:r>
      <w:r w:rsidR="008D42C2">
        <w:t>.</w:t>
      </w:r>
      <w:r>
        <w:t xml:space="preserve"> </w:t>
      </w:r>
      <w:r w:rsidR="00635500">
        <w:t>Par contre, l</w:t>
      </w:r>
      <w:r w:rsidR="008D42C2">
        <w:t>’essentiel du déficit public et de la dette publique se trouve au niveau de l’autorité fédérale</w:t>
      </w:r>
      <w:r>
        <w:t>, raison pour laquelle nous avons préféré comparer les dépenses primaires.</w:t>
      </w:r>
    </w:p>
    <w:p w14:paraId="72D3ECB7" w14:textId="56BB73BC" w:rsidR="00C95FDB" w:rsidRDefault="00C95FDB" w:rsidP="00FC561F">
      <w:pPr>
        <w:spacing w:after="120" w:line="360" w:lineRule="auto"/>
        <w:jc w:val="both"/>
      </w:pPr>
      <w:r>
        <w:t xml:space="preserve">Après avoir retracé les grandes lignes des différentes réformes de l’Etat (section 1), nous examinons </w:t>
      </w:r>
      <w:r w:rsidR="00EB012C">
        <w:t>les raisons et les conséquences du développement d’un système totalement asymétrique</w:t>
      </w:r>
      <w:r w:rsidR="00635500">
        <w:t xml:space="preserve"> (section 2)</w:t>
      </w:r>
      <w:r w:rsidR="00804DBF">
        <w:t>,</w:t>
      </w:r>
      <w:r w:rsidR="00635500">
        <w:t xml:space="preserve"> dans lequel le fait régional s’est imposé au cours du temps</w:t>
      </w:r>
      <w:r w:rsidR="00EB012C">
        <w:t>.</w:t>
      </w:r>
    </w:p>
    <w:p w14:paraId="379624D6" w14:textId="0EC772BA" w:rsidR="00D27C92" w:rsidRDefault="00D27C92" w:rsidP="00A72528">
      <w:pPr>
        <w:pStyle w:val="Titre1"/>
      </w:pPr>
      <w:bookmarkStart w:id="2" w:name="_Toc96081439"/>
      <w:r w:rsidRPr="00A55CD4">
        <w:t>La construction d’un modèle fédéral à double strate</w:t>
      </w:r>
      <w:r w:rsidR="00A72528" w:rsidRPr="00A55CD4">
        <w:rPr>
          <w:rStyle w:val="Appelnotedebasdep"/>
          <w:bCs/>
          <w:szCs w:val="32"/>
        </w:rPr>
        <w:footnoteReference w:id="3"/>
      </w:r>
      <w:bookmarkEnd w:id="2"/>
    </w:p>
    <w:p w14:paraId="148900CC" w14:textId="6086436A" w:rsidR="00A72528" w:rsidRPr="00A72528" w:rsidRDefault="00A72528" w:rsidP="00A72528">
      <w:pPr>
        <w:ind w:right="-142"/>
        <w:rPr>
          <w:color w:val="0070C0"/>
          <w:u w:val="single"/>
        </w:rPr>
      </w:pP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4472C4" w:themeColor="accent1"/>
          <w:u w:val="single"/>
        </w:rPr>
        <w:tab/>
      </w:r>
      <w:r w:rsidRPr="00A72528">
        <w:rPr>
          <w:color w:val="0070C0"/>
          <w:u w:val="single"/>
        </w:rPr>
        <w:tab/>
      </w:r>
      <w:r w:rsidRPr="00A72528">
        <w:rPr>
          <w:color w:val="0070C0"/>
          <w:u w:val="single"/>
        </w:rPr>
        <w:tab/>
      </w:r>
      <w:r>
        <w:rPr>
          <w:color w:val="0070C0"/>
          <w:u w:val="single"/>
        </w:rPr>
        <w:tab/>
      </w:r>
    </w:p>
    <w:p w14:paraId="391B9D3C" w14:textId="77777777" w:rsidR="00A72528" w:rsidRPr="00A72528" w:rsidRDefault="00A72528" w:rsidP="00A72528">
      <w:pPr>
        <w:pStyle w:val="Paragraphedeliste"/>
        <w:ind w:right="-284"/>
        <w:rPr>
          <w:color w:val="0070C0"/>
          <w:u w:val="single"/>
        </w:rPr>
      </w:pPr>
    </w:p>
    <w:p w14:paraId="67C91899" w14:textId="23050198" w:rsidR="00697EC9" w:rsidRDefault="00D27C92" w:rsidP="00C071C2">
      <w:pPr>
        <w:spacing w:after="120" w:line="360" w:lineRule="auto"/>
        <w:jc w:val="both"/>
      </w:pPr>
      <w:r w:rsidRPr="00F332F0">
        <w:rPr>
          <w:szCs w:val="24"/>
        </w:rPr>
        <w:t xml:space="preserve">Le fédéralisme belge est </w:t>
      </w:r>
      <w:r w:rsidR="00892887">
        <w:rPr>
          <w:szCs w:val="24"/>
        </w:rPr>
        <w:t xml:space="preserve">un fédéralisme </w:t>
      </w:r>
      <w:r w:rsidR="00981885">
        <w:rPr>
          <w:szCs w:val="24"/>
        </w:rPr>
        <w:t>centrifuge</w:t>
      </w:r>
      <w:r w:rsidR="00892887">
        <w:rPr>
          <w:szCs w:val="24"/>
        </w:rPr>
        <w:t xml:space="preserve"> correspondant à l’</w:t>
      </w:r>
      <w:r w:rsidRPr="00F332F0">
        <w:rPr>
          <w:szCs w:val="24"/>
        </w:rPr>
        <w:t>aboutissement d’un long processus qui a débouché sur six réformes institutionnelles entre 1970</w:t>
      </w:r>
      <w:r w:rsidR="002F5F65" w:rsidRPr="002B4A1B">
        <w:rPr>
          <w:rStyle w:val="Appelnotedebasdep"/>
          <w:color w:val="231F20"/>
          <w:szCs w:val="24"/>
          <w:shd w:val="clear" w:color="auto" w:fill="FFFFFF"/>
        </w:rPr>
        <w:footnoteReference w:id="4"/>
      </w:r>
      <w:r w:rsidRPr="00F332F0">
        <w:rPr>
          <w:szCs w:val="24"/>
        </w:rPr>
        <w:t xml:space="preserve"> et 2014. La future</w:t>
      </w:r>
      <w:r w:rsidRPr="007A26E6">
        <w:rPr>
          <w:szCs w:val="24"/>
        </w:rPr>
        <w:t xml:space="preserve"> structure du modèle fédéral belge à « 3 +3 » est déjà fixée dans la réforme institutionnelle de 1970.</w:t>
      </w:r>
      <w:r>
        <w:rPr>
          <w:szCs w:val="24"/>
        </w:rPr>
        <w:t xml:space="preserve"> </w:t>
      </w:r>
      <w:r w:rsidR="00D75A4F">
        <w:rPr>
          <w:szCs w:val="24"/>
        </w:rPr>
        <w:t>« Le fédéralisme belge est une œuvre née de revendications contradictoires qui ont néanmoins pu être conciliées au prix d’un</w:t>
      </w:r>
      <w:r w:rsidR="00EB787C">
        <w:rPr>
          <w:szCs w:val="24"/>
        </w:rPr>
        <w:t>e</w:t>
      </w:r>
      <w:r w:rsidR="00D75A4F">
        <w:rPr>
          <w:szCs w:val="24"/>
        </w:rPr>
        <w:t xml:space="preserve"> ingénierie institutionnelle d’une subtilité et d’une complexité rares</w:t>
      </w:r>
      <w:r w:rsidR="00D75A4F">
        <w:rPr>
          <w:rStyle w:val="Appelnotedebasdep"/>
          <w:szCs w:val="24"/>
        </w:rPr>
        <w:footnoteReference w:id="5"/>
      </w:r>
      <w:r w:rsidR="00D75A4F">
        <w:rPr>
          <w:szCs w:val="24"/>
        </w:rPr>
        <w:t xml:space="preserve"> ». Il a ainsi été construit sur la base d’une structure à </w:t>
      </w:r>
      <w:r>
        <w:t>double strate (Communautés et Régions)</w:t>
      </w:r>
      <w:r w:rsidR="002F5F65">
        <w:t>, relativement atypique dans les comparaisons de modèles fédéraux</w:t>
      </w:r>
      <w:r w:rsidR="006B1642">
        <w:t xml:space="preserve"> qui</w:t>
      </w:r>
      <w:r w:rsidRPr="004D4E4A">
        <w:t xml:space="preserve"> se fonde sur deux logiques d’organisation</w:t>
      </w:r>
      <w:r w:rsidRPr="00D94C03">
        <w:t xml:space="preserve"> parallèles : </w:t>
      </w:r>
      <w:r w:rsidR="00016478">
        <w:t>les Régions sont compétentes pour les matières se rattachant à un territoire (« </w:t>
      </w:r>
      <w:proofErr w:type="spellStart"/>
      <w:r w:rsidR="00016478">
        <w:t>plaatsgebonden</w:t>
      </w:r>
      <w:proofErr w:type="spellEnd"/>
      <w:r w:rsidR="00016478">
        <w:t xml:space="preserve"> </w:t>
      </w:r>
      <w:proofErr w:type="spellStart"/>
      <w:r w:rsidR="00016478">
        <w:t>aangelegenheden</w:t>
      </w:r>
      <w:proofErr w:type="spellEnd"/>
      <w:r w:rsidR="00016478">
        <w:t xml:space="preserve"> ») contrairement aux </w:t>
      </w:r>
      <w:r w:rsidR="00E418A4">
        <w:t>Communautés</w:t>
      </w:r>
      <w:r w:rsidR="00016478">
        <w:t xml:space="preserve"> qui le sont pour les matières se rattachant à une personne (« </w:t>
      </w:r>
      <w:proofErr w:type="spellStart"/>
      <w:r w:rsidR="00016478">
        <w:t>persoo</w:t>
      </w:r>
      <w:r w:rsidR="00E418A4">
        <w:t>n</w:t>
      </w:r>
      <w:r w:rsidR="00016478">
        <w:t>gebondent</w:t>
      </w:r>
      <w:proofErr w:type="spellEnd"/>
      <w:r w:rsidR="00016478">
        <w:t xml:space="preserve"> </w:t>
      </w:r>
      <w:proofErr w:type="spellStart"/>
      <w:r w:rsidR="00016478">
        <w:t>aangelegenheden</w:t>
      </w:r>
      <w:proofErr w:type="spellEnd"/>
      <w:r w:rsidR="00016478">
        <w:t> »)</w:t>
      </w:r>
      <w:r w:rsidR="00016478">
        <w:rPr>
          <w:rStyle w:val="Appelnotedebasdep"/>
        </w:rPr>
        <w:footnoteReference w:id="6"/>
      </w:r>
      <w:r w:rsidR="00016478">
        <w:t>.</w:t>
      </w:r>
      <w:r w:rsidR="00E418A4">
        <w:t xml:space="preserve"> </w:t>
      </w:r>
    </w:p>
    <w:p w14:paraId="3DA393FD" w14:textId="77777777" w:rsidR="00C32B0E" w:rsidRDefault="00C32B0E" w:rsidP="00FC561F">
      <w:pPr>
        <w:spacing w:after="120" w:line="360" w:lineRule="auto"/>
        <w:jc w:val="both"/>
        <w:sectPr w:rsidR="00C32B0E" w:rsidSect="006B1D25">
          <w:headerReference w:type="default" r:id="rId12"/>
          <w:footerReference w:type="default" r:id="rId13"/>
          <w:pgSz w:w="11906" w:h="16838"/>
          <w:pgMar w:top="1417" w:right="1417" w:bottom="1417" w:left="1417" w:header="708" w:footer="708" w:gutter="0"/>
          <w:pgNumType w:start="0"/>
          <w:cols w:space="708"/>
          <w:titlePg/>
          <w:docGrid w:linePitch="360"/>
        </w:sectPr>
      </w:pPr>
    </w:p>
    <w:p w14:paraId="70879E3C" w14:textId="11403F3D" w:rsidR="00C32B0E" w:rsidRPr="00C32B0E" w:rsidRDefault="00C32B0E" w:rsidP="00C32B0E">
      <w:pPr>
        <w:spacing w:after="120" w:line="360" w:lineRule="auto"/>
        <w:jc w:val="both"/>
        <w:rPr>
          <w:b/>
          <w:bCs/>
        </w:rPr>
      </w:pPr>
      <w:r w:rsidRPr="00C32B0E">
        <w:rPr>
          <w:b/>
          <w:bCs/>
        </w:rPr>
        <w:lastRenderedPageBreak/>
        <w:t xml:space="preserve">Tableau 1: Principaux indicateurs budgétaires </w:t>
      </w:r>
      <w:r w:rsidR="009167CC">
        <w:rPr>
          <w:b/>
          <w:bCs/>
        </w:rPr>
        <w:t>pour l’année budgétaire 2019</w:t>
      </w:r>
      <w:r w:rsidR="009167CC">
        <w:rPr>
          <w:rStyle w:val="Appelnotedebasdep"/>
          <w:b/>
          <w:bCs/>
        </w:rPr>
        <w:footnoteReference w:id="7"/>
      </w:r>
    </w:p>
    <w:tbl>
      <w:tblPr>
        <w:tblStyle w:val="Grilledutableau"/>
        <w:tblW w:w="14884" w:type="dxa"/>
        <w:tblInd w:w="-147" w:type="dxa"/>
        <w:tblLayout w:type="fixed"/>
        <w:tblLook w:val="04A0" w:firstRow="1" w:lastRow="0" w:firstColumn="1" w:lastColumn="0" w:noHBand="0" w:noVBand="1"/>
      </w:tblPr>
      <w:tblGrid>
        <w:gridCol w:w="2410"/>
        <w:gridCol w:w="1560"/>
        <w:gridCol w:w="992"/>
        <w:gridCol w:w="992"/>
        <w:gridCol w:w="992"/>
        <w:gridCol w:w="993"/>
        <w:gridCol w:w="992"/>
        <w:gridCol w:w="1417"/>
        <w:gridCol w:w="1418"/>
        <w:gridCol w:w="1276"/>
        <w:gridCol w:w="1842"/>
      </w:tblGrid>
      <w:tr w:rsidR="009167CC" w:rsidRPr="00411239" w14:paraId="0B34305E" w14:textId="77777777" w:rsidTr="005C79A8">
        <w:tc>
          <w:tcPr>
            <w:tcW w:w="2410" w:type="dxa"/>
          </w:tcPr>
          <w:p w14:paraId="2224A0E4" w14:textId="61CD26F0" w:rsidR="009167CC" w:rsidRPr="00411239" w:rsidRDefault="009167CC" w:rsidP="0072256E">
            <w:pPr>
              <w:jc w:val="center"/>
              <w:rPr>
                <w:b/>
                <w:bCs/>
                <w:sz w:val="20"/>
              </w:rPr>
            </w:pPr>
            <w:r w:rsidRPr="00411239">
              <w:rPr>
                <w:b/>
                <w:bCs/>
                <w:sz w:val="20"/>
              </w:rPr>
              <w:t>En % du PIB</w:t>
            </w:r>
          </w:p>
        </w:tc>
        <w:tc>
          <w:tcPr>
            <w:tcW w:w="1560" w:type="dxa"/>
          </w:tcPr>
          <w:p w14:paraId="723D1288" w14:textId="53C67DDB" w:rsidR="009167CC" w:rsidRPr="00411239" w:rsidRDefault="009167CC" w:rsidP="0072256E">
            <w:pPr>
              <w:jc w:val="center"/>
              <w:rPr>
                <w:b/>
                <w:bCs/>
                <w:sz w:val="20"/>
              </w:rPr>
            </w:pPr>
            <w:r w:rsidRPr="00411239">
              <w:rPr>
                <w:b/>
                <w:bCs/>
                <w:sz w:val="20"/>
              </w:rPr>
              <w:t>Belgique</w:t>
            </w:r>
          </w:p>
        </w:tc>
        <w:tc>
          <w:tcPr>
            <w:tcW w:w="992" w:type="dxa"/>
          </w:tcPr>
          <w:p w14:paraId="2BFCE517" w14:textId="4D7989AE" w:rsidR="009167CC" w:rsidRPr="00411239" w:rsidRDefault="009167CC" w:rsidP="0072256E">
            <w:pPr>
              <w:jc w:val="center"/>
              <w:rPr>
                <w:b/>
                <w:bCs/>
                <w:sz w:val="20"/>
              </w:rPr>
            </w:pPr>
            <w:r w:rsidRPr="00411239">
              <w:rPr>
                <w:b/>
                <w:bCs/>
                <w:sz w:val="20"/>
              </w:rPr>
              <w:t>Autorité fédérale</w:t>
            </w:r>
          </w:p>
        </w:tc>
        <w:tc>
          <w:tcPr>
            <w:tcW w:w="992" w:type="dxa"/>
          </w:tcPr>
          <w:p w14:paraId="1FED7C99" w14:textId="16779206" w:rsidR="009167CC" w:rsidRPr="00411239" w:rsidRDefault="009167CC" w:rsidP="0072256E">
            <w:pPr>
              <w:jc w:val="center"/>
              <w:rPr>
                <w:b/>
                <w:bCs/>
                <w:sz w:val="20"/>
              </w:rPr>
            </w:pPr>
            <w:r w:rsidRPr="00411239">
              <w:rPr>
                <w:b/>
                <w:bCs/>
                <w:sz w:val="20"/>
              </w:rPr>
              <w:t>Sécurité sociale</w:t>
            </w:r>
          </w:p>
        </w:tc>
        <w:tc>
          <w:tcPr>
            <w:tcW w:w="992" w:type="dxa"/>
          </w:tcPr>
          <w:p w14:paraId="74D1B9DE" w14:textId="044D388E" w:rsidR="009167CC" w:rsidRPr="00411239" w:rsidRDefault="009167CC" w:rsidP="0072256E">
            <w:pPr>
              <w:jc w:val="center"/>
              <w:rPr>
                <w:b/>
                <w:bCs/>
                <w:sz w:val="20"/>
              </w:rPr>
            </w:pPr>
            <w:r w:rsidRPr="00411239">
              <w:rPr>
                <w:b/>
                <w:bCs/>
                <w:sz w:val="20"/>
              </w:rPr>
              <w:t>Entité I</w:t>
            </w:r>
            <w:r w:rsidR="005C79A8">
              <w:rPr>
                <w:b/>
                <w:bCs/>
                <w:sz w:val="20"/>
              </w:rPr>
              <w:t>*</w:t>
            </w:r>
          </w:p>
        </w:tc>
        <w:tc>
          <w:tcPr>
            <w:tcW w:w="993" w:type="dxa"/>
          </w:tcPr>
          <w:p w14:paraId="2CD47402" w14:textId="09F997F4" w:rsidR="009167CC" w:rsidRPr="00411239" w:rsidRDefault="0072256E" w:rsidP="0072256E">
            <w:pPr>
              <w:jc w:val="center"/>
              <w:rPr>
                <w:b/>
                <w:bCs/>
                <w:sz w:val="20"/>
              </w:rPr>
            </w:pPr>
            <w:r>
              <w:rPr>
                <w:b/>
                <w:bCs/>
                <w:sz w:val="20"/>
              </w:rPr>
              <w:t>Pouvoirs locaux</w:t>
            </w:r>
          </w:p>
        </w:tc>
        <w:tc>
          <w:tcPr>
            <w:tcW w:w="992" w:type="dxa"/>
          </w:tcPr>
          <w:p w14:paraId="56106AAD" w14:textId="6B4F403D" w:rsidR="009167CC" w:rsidRPr="00411239" w:rsidRDefault="0072256E" w:rsidP="0072256E">
            <w:pPr>
              <w:jc w:val="center"/>
              <w:rPr>
                <w:b/>
                <w:bCs/>
                <w:sz w:val="20"/>
              </w:rPr>
            </w:pPr>
            <w:r>
              <w:rPr>
                <w:b/>
                <w:bCs/>
                <w:sz w:val="20"/>
              </w:rPr>
              <w:t>Entités fédérées</w:t>
            </w:r>
          </w:p>
        </w:tc>
        <w:tc>
          <w:tcPr>
            <w:tcW w:w="1417" w:type="dxa"/>
          </w:tcPr>
          <w:p w14:paraId="6D733C07" w14:textId="706B0E4C" w:rsidR="009167CC" w:rsidRPr="00411239" w:rsidRDefault="009167CC" w:rsidP="0072256E">
            <w:pPr>
              <w:jc w:val="center"/>
              <w:rPr>
                <w:b/>
                <w:bCs/>
                <w:sz w:val="20"/>
              </w:rPr>
            </w:pPr>
            <w:r w:rsidRPr="00411239">
              <w:rPr>
                <w:b/>
                <w:bCs/>
                <w:sz w:val="20"/>
              </w:rPr>
              <w:t>Communauté flamande</w:t>
            </w:r>
          </w:p>
        </w:tc>
        <w:tc>
          <w:tcPr>
            <w:tcW w:w="1418" w:type="dxa"/>
          </w:tcPr>
          <w:p w14:paraId="78D2C76F" w14:textId="3DF14245" w:rsidR="009167CC" w:rsidRPr="00411239" w:rsidRDefault="009167CC" w:rsidP="0072256E">
            <w:pPr>
              <w:jc w:val="center"/>
              <w:rPr>
                <w:b/>
                <w:bCs/>
                <w:sz w:val="20"/>
              </w:rPr>
            </w:pPr>
            <w:r w:rsidRPr="00411239">
              <w:rPr>
                <w:b/>
                <w:bCs/>
                <w:sz w:val="20"/>
              </w:rPr>
              <w:t>Communauté française</w:t>
            </w:r>
          </w:p>
        </w:tc>
        <w:tc>
          <w:tcPr>
            <w:tcW w:w="1276" w:type="dxa"/>
          </w:tcPr>
          <w:p w14:paraId="4939E6EF" w14:textId="1DB5D440" w:rsidR="009167CC" w:rsidRPr="00411239" w:rsidRDefault="009167CC" w:rsidP="0072256E">
            <w:pPr>
              <w:jc w:val="center"/>
              <w:rPr>
                <w:b/>
                <w:bCs/>
                <w:sz w:val="20"/>
              </w:rPr>
            </w:pPr>
            <w:r w:rsidRPr="00411239">
              <w:rPr>
                <w:b/>
                <w:bCs/>
                <w:sz w:val="20"/>
              </w:rPr>
              <w:t>Région wallonne</w:t>
            </w:r>
          </w:p>
        </w:tc>
        <w:tc>
          <w:tcPr>
            <w:tcW w:w="1842" w:type="dxa"/>
          </w:tcPr>
          <w:p w14:paraId="4D5D312C" w14:textId="322F75B3" w:rsidR="009167CC" w:rsidRPr="00411239" w:rsidRDefault="009167CC" w:rsidP="0072256E">
            <w:pPr>
              <w:jc w:val="center"/>
              <w:rPr>
                <w:b/>
                <w:bCs/>
                <w:sz w:val="20"/>
              </w:rPr>
            </w:pPr>
            <w:r w:rsidRPr="00411239">
              <w:rPr>
                <w:b/>
                <w:bCs/>
                <w:sz w:val="20"/>
              </w:rPr>
              <w:t>Région de Bruxelles-Capitale</w:t>
            </w:r>
          </w:p>
        </w:tc>
      </w:tr>
      <w:tr w:rsidR="0072256E" w:rsidRPr="00411239" w14:paraId="7BE24AFC" w14:textId="77777777" w:rsidTr="005C79A8">
        <w:tc>
          <w:tcPr>
            <w:tcW w:w="2410" w:type="dxa"/>
          </w:tcPr>
          <w:p w14:paraId="6C302F48" w14:textId="63B87801" w:rsidR="0072256E" w:rsidRPr="00411239" w:rsidRDefault="0072256E" w:rsidP="0072256E">
            <w:pPr>
              <w:rPr>
                <w:sz w:val="20"/>
              </w:rPr>
            </w:pPr>
            <w:r w:rsidRPr="00411239">
              <w:rPr>
                <w:sz w:val="20"/>
              </w:rPr>
              <w:t>Recettes totales effectives</w:t>
            </w:r>
          </w:p>
        </w:tc>
        <w:tc>
          <w:tcPr>
            <w:tcW w:w="1560" w:type="dxa"/>
          </w:tcPr>
          <w:p w14:paraId="0F92D2A6" w14:textId="0470D734" w:rsidR="0072256E" w:rsidRPr="00411239" w:rsidRDefault="0072256E" w:rsidP="0072256E">
            <w:pPr>
              <w:jc w:val="center"/>
              <w:rPr>
                <w:sz w:val="20"/>
              </w:rPr>
            </w:pPr>
            <w:r>
              <w:rPr>
                <w:sz w:val="20"/>
              </w:rPr>
              <w:t>48.7</w:t>
            </w:r>
          </w:p>
        </w:tc>
        <w:tc>
          <w:tcPr>
            <w:tcW w:w="992" w:type="dxa"/>
          </w:tcPr>
          <w:p w14:paraId="0EA7D697" w14:textId="7CFD849A" w:rsidR="0072256E" w:rsidRPr="00411239" w:rsidRDefault="0072256E" w:rsidP="0072256E">
            <w:pPr>
              <w:jc w:val="center"/>
              <w:rPr>
                <w:sz w:val="20"/>
              </w:rPr>
            </w:pPr>
            <w:r>
              <w:rPr>
                <w:sz w:val="20"/>
              </w:rPr>
              <w:t>14.1</w:t>
            </w:r>
            <w:r w:rsidR="005C79A8">
              <w:rPr>
                <w:sz w:val="20"/>
              </w:rPr>
              <w:t>**</w:t>
            </w:r>
          </w:p>
        </w:tc>
        <w:tc>
          <w:tcPr>
            <w:tcW w:w="992" w:type="dxa"/>
          </w:tcPr>
          <w:p w14:paraId="57E01FBE" w14:textId="6B0B396C" w:rsidR="0072256E" w:rsidRPr="00411239" w:rsidRDefault="0072256E" w:rsidP="0072256E">
            <w:pPr>
              <w:jc w:val="center"/>
              <w:rPr>
                <w:sz w:val="20"/>
              </w:rPr>
            </w:pPr>
            <w:r>
              <w:rPr>
                <w:sz w:val="20"/>
              </w:rPr>
              <w:t>21.4</w:t>
            </w:r>
          </w:p>
        </w:tc>
        <w:tc>
          <w:tcPr>
            <w:tcW w:w="992" w:type="dxa"/>
          </w:tcPr>
          <w:p w14:paraId="4C2EA167" w14:textId="7185D72B" w:rsidR="0072256E" w:rsidRPr="00411239" w:rsidRDefault="0072256E" w:rsidP="0072256E">
            <w:pPr>
              <w:jc w:val="center"/>
              <w:rPr>
                <w:sz w:val="20"/>
              </w:rPr>
            </w:pPr>
            <w:r>
              <w:rPr>
                <w:sz w:val="20"/>
              </w:rPr>
              <w:t>31.5</w:t>
            </w:r>
          </w:p>
        </w:tc>
        <w:tc>
          <w:tcPr>
            <w:tcW w:w="993" w:type="dxa"/>
          </w:tcPr>
          <w:p w14:paraId="33F2BD0B" w14:textId="760F208B" w:rsidR="0072256E" w:rsidRPr="00411239" w:rsidRDefault="0072256E" w:rsidP="0072256E">
            <w:pPr>
              <w:jc w:val="center"/>
              <w:rPr>
                <w:sz w:val="20"/>
              </w:rPr>
            </w:pPr>
            <w:r>
              <w:rPr>
                <w:sz w:val="20"/>
              </w:rPr>
              <w:t>6.41</w:t>
            </w:r>
          </w:p>
        </w:tc>
        <w:tc>
          <w:tcPr>
            <w:tcW w:w="992" w:type="dxa"/>
          </w:tcPr>
          <w:p w14:paraId="01561326" w14:textId="1D8AA740" w:rsidR="0072256E" w:rsidRDefault="0072256E" w:rsidP="0072256E">
            <w:pPr>
              <w:jc w:val="center"/>
              <w:rPr>
                <w:sz w:val="20"/>
              </w:rPr>
            </w:pPr>
            <w:r>
              <w:rPr>
                <w:sz w:val="20"/>
              </w:rPr>
              <w:t>16.80</w:t>
            </w:r>
          </w:p>
        </w:tc>
        <w:tc>
          <w:tcPr>
            <w:tcW w:w="1417" w:type="dxa"/>
          </w:tcPr>
          <w:p w14:paraId="024B138F" w14:textId="4ED94C6F" w:rsidR="0072256E" w:rsidRPr="00411239" w:rsidRDefault="0072256E" w:rsidP="0072256E">
            <w:pPr>
              <w:jc w:val="center"/>
              <w:rPr>
                <w:sz w:val="20"/>
              </w:rPr>
            </w:pPr>
            <w:r>
              <w:rPr>
                <w:sz w:val="20"/>
              </w:rPr>
              <w:t>9.78</w:t>
            </w:r>
          </w:p>
        </w:tc>
        <w:tc>
          <w:tcPr>
            <w:tcW w:w="1418" w:type="dxa"/>
          </w:tcPr>
          <w:p w14:paraId="153A1025" w14:textId="491F9CC4" w:rsidR="0072256E" w:rsidRPr="00411239" w:rsidRDefault="0072256E" w:rsidP="0072256E">
            <w:pPr>
              <w:jc w:val="center"/>
              <w:rPr>
                <w:sz w:val="20"/>
              </w:rPr>
            </w:pPr>
            <w:r>
              <w:rPr>
                <w:sz w:val="20"/>
              </w:rPr>
              <w:t>3.35</w:t>
            </w:r>
          </w:p>
        </w:tc>
        <w:tc>
          <w:tcPr>
            <w:tcW w:w="1276" w:type="dxa"/>
          </w:tcPr>
          <w:p w14:paraId="6F8A21F3" w14:textId="4EF3B538" w:rsidR="0072256E" w:rsidRPr="00411239" w:rsidRDefault="0072256E" w:rsidP="0072256E">
            <w:pPr>
              <w:jc w:val="center"/>
              <w:rPr>
                <w:sz w:val="20"/>
              </w:rPr>
            </w:pPr>
            <w:r>
              <w:rPr>
                <w:sz w:val="20"/>
              </w:rPr>
              <w:t>3.06</w:t>
            </w:r>
          </w:p>
        </w:tc>
        <w:tc>
          <w:tcPr>
            <w:tcW w:w="1842" w:type="dxa"/>
          </w:tcPr>
          <w:p w14:paraId="21455533" w14:textId="43AD478B" w:rsidR="0072256E" w:rsidRPr="00411239" w:rsidRDefault="0072256E" w:rsidP="0072256E">
            <w:pPr>
              <w:jc w:val="center"/>
              <w:rPr>
                <w:sz w:val="20"/>
              </w:rPr>
            </w:pPr>
            <w:r>
              <w:rPr>
                <w:sz w:val="20"/>
              </w:rPr>
              <w:t>1.03</w:t>
            </w:r>
          </w:p>
        </w:tc>
      </w:tr>
      <w:tr w:rsidR="0072256E" w:rsidRPr="00411239" w14:paraId="62DBD2C1" w14:textId="77777777" w:rsidTr="005C79A8">
        <w:tc>
          <w:tcPr>
            <w:tcW w:w="2410" w:type="dxa"/>
          </w:tcPr>
          <w:p w14:paraId="33638DFF" w14:textId="5831A79F" w:rsidR="0072256E" w:rsidRPr="00411239" w:rsidRDefault="0072256E" w:rsidP="0072256E">
            <w:pPr>
              <w:rPr>
                <w:sz w:val="20"/>
              </w:rPr>
            </w:pPr>
            <w:r w:rsidRPr="00411239">
              <w:rPr>
                <w:sz w:val="20"/>
              </w:rPr>
              <w:t>Dépenses primaires</w:t>
            </w:r>
          </w:p>
        </w:tc>
        <w:tc>
          <w:tcPr>
            <w:tcW w:w="1560" w:type="dxa"/>
          </w:tcPr>
          <w:p w14:paraId="0D4B5192" w14:textId="4DD9935D" w:rsidR="0072256E" w:rsidRPr="00411239" w:rsidRDefault="0072256E" w:rsidP="0072256E">
            <w:pPr>
              <w:jc w:val="center"/>
              <w:rPr>
                <w:sz w:val="20"/>
              </w:rPr>
            </w:pPr>
            <w:r>
              <w:rPr>
                <w:sz w:val="20"/>
              </w:rPr>
              <w:t>48.6</w:t>
            </w:r>
          </w:p>
        </w:tc>
        <w:tc>
          <w:tcPr>
            <w:tcW w:w="992" w:type="dxa"/>
          </w:tcPr>
          <w:p w14:paraId="1D851107" w14:textId="7AFFFE5B" w:rsidR="0072256E" w:rsidRPr="00411239" w:rsidRDefault="0072256E" w:rsidP="0072256E">
            <w:pPr>
              <w:jc w:val="center"/>
              <w:rPr>
                <w:sz w:val="20"/>
              </w:rPr>
            </w:pPr>
            <w:r>
              <w:rPr>
                <w:sz w:val="20"/>
              </w:rPr>
              <w:t>14.2</w:t>
            </w:r>
          </w:p>
        </w:tc>
        <w:tc>
          <w:tcPr>
            <w:tcW w:w="992" w:type="dxa"/>
          </w:tcPr>
          <w:p w14:paraId="14EAFBDC" w14:textId="4B10C906" w:rsidR="0072256E" w:rsidRPr="00411239" w:rsidRDefault="0072256E" w:rsidP="0072256E">
            <w:pPr>
              <w:jc w:val="center"/>
              <w:rPr>
                <w:sz w:val="20"/>
              </w:rPr>
            </w:pPr>
            <w:r>
              <w:rPr>
                <w:sz w:val="20"/>
              </w:rPr>
              <w:t>21.2</w:t>
            </w:r>
          </w:p>
        </w:tc>
        <w:tc>
          <w:tcPr>
            <w:tcW w:w="992" w:type="dxa"/>
          </w:tcPr>
          <w:p w14:paraId="15CCD0E2" w14:textId="258C4746" w:rsidR="0072256E" w:rsidRPr="00411239" w:rsidRDefault="0072256E" w:rsidP="0072256E">
            <w:pPr>
              <w:jc w:val="center"/>
              <w:rPr>
                <w:sz w:val="20"/>
              </w:rPr>
            </w:pPr>
            <w:r>
              <w:rPr>
                <w:sz w:val="20"/>
              </w:rPr>
              <w:t>31.5</w:t>
            </w:r>
          </w:p>
        </w:tc>
        <w:tc>
          <w:tcPr>
            <w:tcW w:w="993" w:type="dxa"/>
          </w:tcPr>
          <w:p w14:paraId="6D763D26" w14:textId="3D605AEC" w:rsidR="0072256E" w:rsidRPr="00411239" w:rsidRDefault="0072256E" w:rsidP="0072256E">
            <w:pPr>
              <w:jc w:val="center"/>
              <w:rPr>
                <w:sz w:val="20"/>
              </w:rPr>
            </w:pPr>
            <w:r>
              <w:rPr>
                <w:sz w:val="20"/>
              </w:rPr>
              <w:t>6.36</w:t>
            </w:r>
          </w:p>
        </w:tc>
        <w:tc>
          <w:tcPr>
            <w:tcW w:w="992" w:type="dxa"/>
          </w:tcPr>
          <w:p w14:paraId="6F2CD12D" w14:textId="6B3F12F2" w:rsidR="0072256E" w:rsidRDefault="0072256E" w:rsidP="0072256E">
            <w:pPr>
              <w:jc w:val="center"/>
              <w:rPr>
                <w:sz w:val="20"/>
              </w:rPr>
            </w:pPr>
            <w:r>
              <w:rPr>
                <w:sz w:val="20"/>
              </w:rPr>
              <w:t>16.80</w:t>
            </w:r>
          </w:p>
        </w:tc>
        <w:tc>
          <w:tcPr>
            <w:tcW w:w="1417" w:type="dxa"/>
          </w:tcPr>
          <w:p w14:paraId="6C14CCD8" w14:textId="5E293D98" w:rsidR="0072256E" w:rsidRPr="00411239" w:rsidRDefault="0072256E" w:rsidP="0072256E">
            <w:pPr>
              <w:jc w:val="center"/>
              <w:rPr>
                <w:sz w:val="20"/>
              </w:rPr>
            </w:pPr>
            <w:r>
              <w:rPr>
                <w:sz w:val="20"/>
              </w:rPr>
              <w:t>9.63</w:t>
            </w:r>
          </w:p>
        </w:tc>
        <w:tc>
          <w:tcPr>
            <w:tcW w:w="1418" w:type="dxa"/>
          </w:tcPr>
          <w:p w14:paraId="750365FD" w14:textId="3AAADB6A" w:rsidR="0072256E" w:rsidRPr="00411239" w:rsidRDefault="0072256E" w:rsidP="0072256E">
            <w:pPr>
              <w:jc w:val="center"/>
              <w:rPr>
                <w:sz w:val="20"/>
              </w:rPr>
            </w:pPr>
            <w:r>
              <w:rPr>
                <w:sz w:val="20"/>
              </w:rPr>
              <w:t>3.39</w:t>
            </w:r>
          </w:p>
        </w:tc>
        <w:tc>
          <w:tcPr>
            <w:tcW w:w="1276" w:type="dxa"/>
          </w:tcPr>
          <w:p w14:paraId="1E6C8DED" w14:textId="218AED38" w:rsidR="0072256E" w:rsidRPr="00411239" w:rsidRDefault="0072256E" w:rsidP="0072256E">
            <w:pPr>
              <w:jc w:val="center"/>
              <w:rPr>
                <w:sz w:val="20"/>
              </w:rPr>
            </w:pPr>
            <w:r>
              <w:rPr>
                <w:sz w:val="20"/>
              </w:rPr>
              <w:t>3.07</w:t>
            </w:r>
          </w:p>
        </w:tc>
        <w:tc>
          <w:tcPr>
            <w:tcW w:w="1842" w:type="dxa"/>
          </w:tcPr>
          <w:p w14:paraId="458D900B" w14:textId="6019250B" w:rsidR="0072256E" w:rsidRPr="00411239" w:rsidRDefault="0072256E" w:rsidP="0072256E">
            <w:pPr>
              <w:jc w:val="center"/>
              <w:rPr>
                <w:sz w:val="20"/>
              </w:rPr>
            </w:pPr>
            <w:r>
              <w:rPr>
                <w:sz w:val="20"/>
              </w:rPr>
              <w:t>1.14</w:t>
            </w:r>
          </w:p>
        </w:tc>
      </w:tr>
      <w:tr w:rsidR="0072256E" w:rsidRPr="00411239" w14:paraId="25CC364F" w14:textId="77777777" w:rsidTr="005C79A8">
        <w:tc>
          <w:tcPr>
            <w:tcW w:w="2410" w:type="dxa"/>
          </w:tcPr>
          <w:p w14:paraId="2631315F" w14:textId="7C276E2D" w:rsidR="0072256E" w:rsidRPr="00411239" w:rsidRDefault="0072256E" w:rsidP="0072256E">
            <w:pPr>
              <w:rPr>
                <w:sz w:val="20"/>
              </w:rPr>
            </w:pPr>
            <w:r w:rsidRPr="00411239">
              <w:rPr>
                <w:sz w:val="20"/>
              </w:rPr>
              <w:t>Solde primaire</w:t>
            </w:r>
          </w:p>
        </w:tc>
        <w:tc>
          <w:tcPr>
            <w:tcW w:w="1560" w:type="dxa"/>
          </w:tcPr>
          <w:p w14:paraId="483FDBA2" w14:textId="4A5B5530" w:rsidR="0072256E" w:rsidRPr="00411239" w:rsidRDefault="0072256E" w:rsidP="0072256E">
            <w:pPr>
              <w:jc w:val="center"/>
              <w:rPr>
                <w:sz w:val="20"/>
              </w:rPr>
            </w:pPr>
            <w:r>
              <w:rPr>
                <w:sz w:val="20"/>
              </w:rPr>
              <w:t>0.1</w:t>
            </w:r>
          </w:p>
        </w:tc>
        <w:tc>
          <w:tcPr>
            <w:tcW w:w="992" w:type="dxa"/>
          </w:tcPr>
          <w:p w14:paraId="54D9B2B0" w14:textId="49414954" w:rsidR="0072256E" w:rsidRPr="00411239" w:rsidRDefault="0072256E" w:rsidP="0072256E">
            <w:pPr>
              <w:jc w:val="center"/>
              <w:rPr>
                <w:sz w:val="20"/>
              </w:rPr>
            </w:pPr>
            <w:r>
              <w:rPr>
                <w:sz w:val="20"/>
              </w:rPr>
              <w:t>-0.1</w:t>
            </w:r>
          </w:p>
        </w:tc>
        <w:tc>
          <w:tcPr>
            <w:tcW w:w="992" w:type="dxa"/>
          </w:tcPr>
          <w:p w14:paraId="3EA8E5CD" w14:textId="2721F5C6" w:rsidR="0072256E" w:rsidRPr="00411239" w:rsidRDefault="0072256E" w:rsidP="0072256E">
            <w:pPr>
              <w:jc w:val="center"/>
              <w:rPr>
                <w:sz w:val="20"/>
              </w:rPr>
            </w:pPr>
            <w:r>
              <w:rPr>
                <w:sz w:val="20"/>
              </w:rPr>
              <w:t>0.2</w:t>
            </w:r>
          </w:p>
        </w:tc>
        <w:tc>
          <w:tcPr>
            <w:tcW w:w="992" w:type="dxa"/>
          </w:tcPr>
          <w:p w14:paraId="7084B778" w14:textId="11970546" w:rsidR="0072256E" w:rsidRPr="00411239" w:rsidRDefault="0072256E" w:rsidP="0072256E">
            <w:pPr>
              <w:jc w:val="center"/>
              <w:rPr>
                <w:sz w:val="20"/>
              </w:rPr>
            </w:pPr>
            <w:r>
              <w:rPr>
                <w:sz w:val="20"/>
              </w:rPr>
              <w:t>0</w:t>
            </w:r>
          </w:p>
        </w:tc>
        <w:tc>
          <w:tcPr>
            <w:tcW w:w="993" w:type="dxa"/>
          </w:tcPr>
          <w:p w14:paraId="2E7F7A2B" w14:textId="348CF543" w:rsidR="0072256E" w:rsidRPr="00411239" w:rsidRDefault="0072256E" w:rsidP="0072256E">
            <w:pPr>
              <w:jc w:val="center"/>
              <w:rPr>
                <w:sz w:val="20"/>
              </w:rPr>
            </w:pPr>
            <w:r>
              <w:rPr>
                <w:sz w:val="20"/>
              </w:rPr>
              <w:t>0.05</w:t>
            </w:r>
          </w:p>
        </w:tc>
        <w:tc>
          <w:tcPr>
            <w:tcW w:w="992" w:type="dxa"/>
          </w:tcPr>
          <w:p w14:paraId="2B365DA1" w14:textId="6DC6BFCD" w:rsidR="0072256E" w:rsidRDefault="0072256E" w:rsidP="0072256E">
            <w:pPr>
              <w:jc w:val="center"/>
              <w:rPr>
                <w:sz w:val="20"/>
              </w:rPr>
            </w:pPr>
            <w:r>
              <w:rPr>
                <w:sz w:val="20"/>
              </w:rPr>
              <w:t>0</w:t>
            </w:r>
          </w:p>
        </w:tc>
        <w:tc>
          <w:tcPr>
            <w:tcW w:w="1417" w:type="dxa"/>
          </w:tcPr>
          <w:p w14:paraId="6B7E9BF6" w14:textId="2561924D" w:rsidR="0072256E" w:rsidRPr="00411239" w:rsidRDefault="0072256E" w:rsidP="0072256E">
            <w:pPr>
              <w:jc w:val="center"/>
              <w:rPr>
                <w:sz w:val="20"/>
              </w:rPr>
            </w:pPr>
            <w:r>
              <w:rPr>
                <w:sz w:val="20"/>
              </w:rPr>
              <w:t>0.15</w:t>
            </w:r>
          </w:p>
        </w:tc>
        <w:tc>
          <w:tcPr>
            <w:tcW w:w="1418" w:type="dxa"/>
          </w:tcPr>
          <w:p w14:paraId="73320C1F" w14:textId="54BCB9C9" w:rsidR="0072256E" w:rsidRPr="00411239" w:rsidRDefault="0072256E" w:rsidP="0072256E">
            <w:pPr>
              <w:jc w:val="center"/>
              <w:rPr>
                <w:sz w:val="20"/>
              </w:rPr>
            </w:pPr>
            <w:r>
              <w:rPr>
                <w:sz w:val="20"/>
              </w:rPr>
              <w:t>-0.04</w:t>
            </w:r>
          </w:p>
        </w:tc>
        <w:tc>
          <w:tcPr>
            <w:tcW w:w="1276" w:type="dxa"/>
          </w:tcPr>
          <w:p w14:paraId="620806DB" w14:textId="226187BD" w:rsidR="0072256E" w:rsidRPr="00411239" w:rsidRDefault="0072256E" w:rsidP="0072256E">
            <w:pPr>
              <w:jc w:val="center"/>
              <w:rPr>
                <w:sz w:val="20"/>
              </w:rPr>
            </w:pPr>
            <w:r>
              <w:rPr>
                <w:sz w:val="20"/>
              </w:rPr>
              <w:t>-0.01</w:t>
            </w:r>
          </w:p>
        </w:tc>
        <w:tc>
          <w:tcPr>
            <w:tcW w:w="1842" w:type="dxa"/>
          </w:tcPr>
          <w:p w14:paraId="68FBFAAA" w14:textId="6F9CBB9D" w:rsidR="0072256E" w:rsidRPr="00411239" w:rsidRDefault="0072256E" w:rsidP="0072256E">
            <w:pPr>
              <w:jc w:val="center"/>
              <w:rPr>
                <w:sz w:val="20"/>
              </w:rPr>
            </w:pPr>
            <w:r>
              <w:rPr>
                <w:sz w:val="20"/>
              </w:rPr>
              <w:t>-0.11</w:t>
            </w:r>
          </w:p>
        </w:tc>
      </w:tr>
      <w:tr w:rsidR="0072256E" w:rsidRPr="00411239" w14:paraId="59D0A337" w14:textId="77777777" w:rsidTr="005C79A8">
        <w:tc>
          <w:tcPr>
            <w:tcW w:w="2410" w:type="dxa"/>
          </w:tcPr>
          <w:p w14:paraId="264C336B" w14:textId="462F7D22" w:rsidR="0072256E" w:rsidRPr="00411239" w:rsidRDefault="0072256E" w:rsidP="0072256E">
            <w:pPr>
              <w:rPr>
                <w:sz w:val="20"/>
              </w:rPr>
            </w:pPr>
            <w:r w:rsidRPr="00411239">
              <w:rPr>
                <w:sz w:val="20"/>
              </w:rPr>
              <w:t>Charge d’intérêt</w:t>
            </w:r>
          </w:p>
        </w:tc>
        <w:tc>
          <w:tcPr>
            <w:tcW w:w="1560" w:type="dxa"/>
          </w:tcPr>
          <w:p w14:paraId="545D449F" w14:textId="2CDFF040" w:rsidR="0072256E" w:rsidRPr="00411239" w:rsidRDefault="0072256E" w:rsidP="0072256E">
            <w:pPr>
              <w:jc w:val="center"/>
              <w:rPr>
                <w:sz w:val="20"/>
              </w:rPr>
            </w:pPr>
            <w:r>
              <w:rPr>
                <w:sz w:val="20"/>
              </w:rPr>
              <w:t>2</w:t>
            </w:r>
          </w:p>
        </w:tc>
        <w:tc>
          <w:tcPr>
            <w:tcW w:w="992" w:type="dxa"/>
          </w:tcPr>
          <w:p w14:paraId="191E5CCF" w14:textId="3D295254" w:rsidR="0072256E" w:rsidRPr="00411239" w:rsidRDefault="0072256E" w:rsidP="0072256E">
            <w:pPr>
              <w:jc w:val="center"/>
              <w:rPr>
                <w:sz w:val="20"/>
              </w:rPr>
            </w:pPr>
            <w:r>
              <w:rPr>
                <w:sz w:val="20"/>
              </w:rPr>
              <w:t>1.8</w:t>
            </w:r>
          </w:p>
        </w:tc>
        <w:tc>
          <w:tcPr>
            <w:tcW w:w="992" w:type="dxa"/>
          </w:tcPr>
          <w:p w14:paraId="3CDB2AE5" w14:textId="5CDE6606" w:rsidR="0072256E" w:rsidRPr="00411239" w:rsidRDefault="0072256E" w:rsidP="0072256E">
            <w:pPr>
              <w:jc w:val="center"/>
              <w:rPr>
                <w:sz w:val="20"/>
              </w:rPr>
            </w:pPr>
            <w:r>
              <w:rPr>
                <w:sz w:val="20"/>
              </w:rPr>
              <w:t>0</w:t>
            </w:r>
          </w:p>
        </w:tc>
        <w:tc>
          <w:tcPr>
            <w:tcW w:w="992" w:type="dxa"/>
          </w:tcPr>
          <w:p w14:paraId="3F0967C9" w14:textId="3F68907A" w:rsidR="0072256E" w:rsidRPr="00411239" w:rsidRDefault="0072256E" w:rsidP="0072256E">
            <w:pPr>
              <w:jc w:val="center"/>
              <w:rPr>
                <w:sz w:val="20"/>
              </w:rPr>
            </w:pPr>
            <w:r>
              <w:rPr>
                <w:sz w:val="20"/>
              </w:rPr>
              <w:t>1.7</w:t>
            </w:r>
          </w:p>
        </w:tc>
        <w:tc>
          <w:tcPr>
            <w:tcW w:w="993" w:type="dxa"/>
          </w:tcPr>
          <w:p w14:paraId="66DF66A1" w14:textId="1EA9E9E7" w:rsidR="0072256E" w:rsidRPr="00411239" w:rsidRDefault="0072256E" w:rsidP="0072256E">
            <w:pPr>
              <w:jc w:val="center"/>
              <w:rPr>
                <w:sz w:val="20"/>
              </w:rPr>
            </w:pPr>
            <w:r>
              <w:rPr>
                <w:sz w:val="20"/>
              </w:rPr>
              <w:t>0.0</w:t>
            </w:r>
          </w:p>
        </w:tc>
        <w:tc>
          <w:tcPr>
            <w:tcW w:w="992" w:type="dxa"/>
          </w:tcPr>
          <w:p w14:paraId="6569FCCD" w14:textId="7CB91F45" w:rsidR="0072256E" w:rsidRDefault="0072256E" w:rsidP="0072256E">
            <w:pPr>
              <w:jc w:val="center"/>
              <w:rPr>
                <w:sz w:val="20"/>
              </w:rPr>
            </w:pPr>
            <w:r>
              <w:rPr>
                <w:sz w:val="20"/>
              </w:rPr>
              <w:t>0.23</w:t>
            </w:r>
          </w:p>
        </w:tc>
        <w:tc>
          <w:tcPr>
            <w:tcW w:w="1417" w:type="dxa"/>
          </w:tcPr>
          <w:p w14:paraId="23711BD0" w14:textId="5FB2B22B" w:rsidR="0072256E" w:rsidRPr="00411239" w:rsidRDefault="0072256E" w:rsidP="0072256E">
            <w:pPr>
              <w:jc w:val="center"/>
              <w:rPr>
                <w:sz w:val="20"/>
              </w:rPr>
            </w:pPr>
            <w:r>
              <w:rPr>
                <w:sz w:val="20"/>
              </w:rPr>
              <w:t>0.09</w:t>
            </w:r>
          </w:p>
        </w:tc>
        <w:tc>
          <w:tcPr>
            <w:tcW w:w="1418" w:type="dxa"/>
          </w:tcPr>
          <w:p w14:paraId="4544AE90" w14:textId="60C904F8" w:rsidR="0072256E" w:rsidRPr="00411239" w:rsidRDefault="0072256E" w:rsidP="0072256E">
            <w:pPr>
              <w:jc w:val="center"/>
              <w:rPr>
                <w:sz w:val="20"/>
              </w:rPr>
            </w:pPr>
            <w:r>
              <w:rPr>
                <w:sz w:val="20"/>
              </w:rPr>
              <w:t>0.03</w:t>
            </w:r>
          </w:p>
        </w:tc>
        <w:tc>
          <w:tcPr>
            <w:tcW w:w="1276" w:type="dxa"/>
          </w:tcPr>
          <w:p w14:paraId="76E9A665" w14:textId="3E66FF3D" w:rsidR="0072256E" w:rsidRPr="00411239" w:rsidRDefault="0072256E" w:rsidP="0072256E">
            <w:pPr>
              <w:jc w:val="center"/>
              <w:rPr>
                <w:sz w:val="20"/>
              </w:rPr>
            </w:pPr>
            <w:r>
              <w:rPr>
                <w:sz w:val="20"/>
              </w:rPr>
              <w:t>0.08</w:t>
            </w:r>
          </w:p>
        </w:tc>
        <w:tc>
          <w:tcPr>
            <w:tcW w:w="1842" w:type="dxa"/>
          </w:tcPr>
          <w:p w14:paraId="7CA179F5" w14:textId="03F421CB" w:rsidR="0072256E" w:rsidRPr="00411239" w:rsidRDefault="0072256E" w:rsidP="0072256E">
            <w:pPr>
              <w:jc w:val="center"/>
              <w:rPr>
                <w:sz w:val="20"/>
              </w:rPr>
            </w:pPr>
            <w:r>
              <w:rPr>
                <w:sz w:val="20"/>
              </w:rPr>
              <w:t>0.02</w:t>
            </w:r>
          </w:p>
        </w:tc>
      </w:tr>
      <w:tr w:rsidR="0072256E" w:rsidRPr="00411239" w14:paraId="6892CD17" w14:textId="77777777" w:rsidTr="005C79A8">
        <w:tc>
          <w:tcPr>
            <w:tcW w:w="2410" w:type="dxa"/>
          </w:tcPr>
          <w:p w14:paraId="34124E85" w14:textId="65D4E5C5" w:rsidR="0072256E" w:rsidRPr="00411239" w:rsidRDefault="0072256E" w:rsidP="0072256E">
            <w:pPr>
              <w:rPr>
                <w:sz w:val="20"/>
              </w:rPr>
            </w:pPr>
            <w:r w:rsidRPr="00411239">
              <w:rPr>
                <w:sz w:val="20"/>
              </w:rPr>
              <w:t>Solde de financement</w:t>
            </w:r>
          </w:p>
        </w:tc>
        <w:tc>
          <w:tcPr>
            <w:tcW w:w="1560" w:type="dxa"/>
          </w:tcPr>
          <w:p w14:paraId="3D5B207B" w14:textId="0EE15C39" w:rsidR="0072256E" w:rsidRPr="00411239" w:rsidRDefault="0072256E" w:rsidP="0072256E">
            <w:pPr>
              <w:jc w:val="center"/>
              <w:rPr>
                <w:sz w:val="20"/>
              </w:rPr>
            </w:pPr>
            <w:r>
              <w:rPr>
                <w:sz w:val="20"/>
              </w:rPr>
              <w:t>-1.9</w:t>
            </w:r>
          </w:p>
        </w:tc>
        <w:tc>
          <w:tcPr>
            <w:tcW w:w="992" w:type="dxa"/>
          </w:tcPr>
          <w:p w14:paraId="6BF9D231" w14:textId="1224E1DA" w:rsidR="0072256E" w:rsidRPr="00411239" w:rsidRDefault="0072256E" w:rsidP="0072256E">
            <w:pPr>
              <w:jc w:val="center"/>
              <w:rPr>
                <w:sz w:val="20"/>
              </w:rPr>
            </w:pPr>
            <w:r>
              <w:rPr>
                <w:sz w:val="20"/>
              </w:rPr>
              <w:t>-1.9</w:t>
            </w:r>
          </w:p>
        </w:tc>
        <w:tc>
          <w:tcPr>
            <w:tcW w:w="992" w:type="dxa"/>
          </w:tcPr>
          <w:p w14:paraId="6A0194E3" w14:textId="2EE9DCD7" w:rsidR="0072256E" w:rsidRPr="00411239" w:rsidRDefault="0072256E" w:rsidP="0072256E">
            <w:pPr>
              <w:jc w:val="center"/>
              <w:rPr>
                <w:sz w:val="20"/>
              </w:rPr>
            </w:pPr>
            <w:r>
              <w:rPr>
                <w:sz w:val="20"/>
              </w:rPr>
              <w:t>0.2</w:t>
            </w:r>
          </w:p>
        </w:tc>
        <w:tc>
          <w:tcPr>
            <w:tcW w:w="992" w:type="dxa"/>
          </w:tcPr>
          <w:p w14:paraId="59B9C8AA" w14:textId="29032F08" w:rsidR="0072256E" w:rsidRPr="00411239" w:rsidRDefault="0072256E" w:rsidP="0072256E">
            <w:pPr>
              <w:jc w:val="center"/>
              <w:rPr>
                <w:sz w:val="20"/>
              </w:rPr>
            </w:pPr>
            <w:r>
              <w:rPr>
                <w:sz w:val="20"/>
              </w:rPr>
              <w:t>-1.7</w:t>
            </w:r>
          </w:p>
        </w:tc>
        <w:tc>
          <w:tcPr>
            <w:tcW w:w="993" w:type="dxa"/>
          </w:tcPr>
          <w:p w14:paraId="475419CB" w14:textId="777EFF3B" w:rsidR="0072256E" w:rsidRPr="00411239" w:rsidRDefault="0072256E" w:rsidP="0072256E">
            <w:pPr>
              <w:jc w:val="center"/>
              <w:rPr>
                <w:sz w:val="20"/>
              </w:rPr>
            </w:pPr>
            <w:r>
              <w:rPr>
                <w:sz w:val="20"/>
              </w:rPr>
              <w:t>0.05</w:t>
            </w:r>
          </w:p>
        </w:tc>
        <w:tc>
          <w:tcPr>
            <w:tcW w:w="992" w:type="dxa"/>
          </w:tcPr>
          <w:p w14:paraId="583CEDCE" w14:textId="64F18763" w:rsidR="0072256E" w:rsidRDefault="0072256E" w:rsidP="0072256E">
            <w:pPr>
              <w:jc w:val="center"/>
              <w:rPr>
                <w:sz w:val="20"/>
              </w:rPr>
            </w:pPr>
            <w:r>
              <w:rPr>
                <w:sz w:val="20"/>
              </w:rPr>
              <w:t>-0.23</w:t>
            </w:r>
          </w:p>
        </w:tc>
        <w:tc>
          <w:tcPr>
            <w:tcW w:w="1417" w:type="dxa"/>
          </w:tcPr>
          <w:p w14:paraId="006E5A24" w14:textId="2E1434DE" w:rsidR="0072256E" w:rsidRPr="00411239" w:rsidRDefault="0072256E" w:rsidP="0072256E">
            <w:pPr>
              <w:jc w:val="center"/>
              <w:rPr>
                <w:sz w:val="20"/>
              </w:rPr>
            </w:pPr>
            <w:r>
              <w:rPr>
                <w:sz w:val="20"/>
              </w:rPr>
              <w:t>0.06</w:t>
            </w:r>
          </w:p>
        </w:tc>
        <w:tc>
          <w:tcPr>
            <w:tcW w:w="1418" w:type="dxa"/>
          </w:tcPr>
          <w:p w14:paraId="2484BEF1" w14:textId="7B7219C4" w:rsidR="0072256E" w:rsidRPr="00411239" w:rsidRDefault="0072256E" w:rsidP="0072256E">
            <w:pPr>
              <w:jc w:val="center"/>
              <w:rPr>
                <w:sz w:val="20"/>
              </w:rPr>
            </w:pPr>
            <w:r>
              <w:rPr>
                <w:sz w:val="20"/>
              </w:rPr>
              <w:t>-0.07</w:t>
            </w:r>
          </w:p>
        </w:tc>
        <w:tc>
          <w:tcPr>
            <w:tcW w:w="1276" w:type="dxa"/>
          </w:tcPr>
          <w:p w14:paraId="139DEF4F" w14:textId="19CC7B01" w:rsidR="0072256E" w:rsidRPr="00411239" w:rsidRDefault="0072256E" w:rsidP="0072256E">
            <w:pPr>
              <w:jc w:val="center"/>
              <w:rPr>
                <w:sz w:val="20"/>
              </w:rPr>
            </w:pPr>
            <w:r>
              <w:rPr>
                <w:sz w:val="20"/>
              </w:rPr>
              <w:t>-0.09</w:t>
            </w:r>
          </w:p>
        </w:tc>
        <w:tc>
          <w:tcPr>
            <w:tcW w:w="1842" w:type="dxa"/>
          </w:tcPr>
          <w:p w14:paraId="2CF25AD1" w14:textId="4489B421" w:rsidR="0072256E" w:rsidRPr="00411239" w:rsidRDefault="0072256E" w:rsidP="0072256E">
            <w:pPr>
              <w:jc w:val="center"/>
              <w:rPr>
                <w:sz w:val="20"/>
              </w:rPr>
            </w:pPr>
            <w:r>
              <w:rPr>
                <w:sz w:val="20"/>
              </w:rPr>
              <w:t>-0.13</w:t>
            </w:r>
          </w:p>
        </w:tc>
      </w:tr>
      <w:tr w:rsidR="00213806" w:rsidRPr="00411239" w14:paraId="71C21CB9" w14:textId="77777777" w:rsidTr="005C79A8">
        <w:tc>
          <w:tcPr>
            <w:tcW w:w="2410" w:type="dxa"/>
          </w:tcPr>
          <w:p w14:paraId="05E5AAAE" w14:textId="643FCBC1" w:rsidR="00213806" w:rsidRPr="00411239" w:rsidRDefault="00213806" w:rsidP="0072256E">
            <w:pPr>
              <w:rPr>
                <w:sz w:val="20"/>
              </w:rPr>
            </w:pPr>
            <w:r>
              <w:rPr>
                <w:sz w:val="20"/>
              </w:rPr>
              <w:t>Dette publique</w:t>
            </w:r>
            <w:r w:rsidR="005C79A8">
              <w:rPr>
                <w:sz w:val="20"/>
              </w:rPr>
              <w:t xml:space="preserve">*** </w:t>
            </w:r>
            <w:r>
              <w:rPr>
                <w:sz w:val="20"/>
              </w:rPr>
              <w:t>(mill</w:t>
            </w:r>
            <w:r w:rsidR="008D42C2">
              <w:rPr>
                <w:sz w:val="20"/>
              </w:rPr>
              <w:t>ions</w:t>
            </w:r>
            <w:r w:rsidR="005C79A8">
              <w:rPr>
                <w:sz w:val="20"/>
              </w:rPr>
              <w:t xml:space="preserve"> €</w:t>
            </w:r>
            <w:r>
              <w:rPr>
                <w:sz w:val="20"/>
              </w:rPr>
              <w:t>)</w:t>
            </w:r>
          </w:p>
        </w:tc>
        <w:tc>
          <w:tcPr>
            <w:tcW w:w="1560" w:type="dxa"/>
          </w:tcPr>
          <w:p w14:paraId="56D18F5B" w14:textId="537901AC" w:rsidR="00213806" w:rsidRDefault="00213806" w:rsidP="0072256E">
            <w:pPr>
              <w:jc w:val="center"/>
              <w:rPr>
                <w:sz w:val="20"/>
              </w:rPr>
            </w:pPr>
            <w:r>
              <w:rPr>
                <w:sz w:val="20"/>
              </w:rPr>
              <w:t>467 200</w:t>
            </w:r>
            <w:r>
              <w:rPr>
                <w:rStyle w:val="Appelnotedebasdep"/>
                <w:sz w:val="20"/>
              </w:rPr>
              <w:footnoteReference w:id="8"/>
            </w:r>
          </w:p>
        </w:tc>
        <w:tc>
          <w:tcPr>
            <w:tcW w:w="992" w:type="dxa"/>
          </w:tcPr>
          <w:p w14:paraId="40756E1A" w14:textId="549D852A" w:rsidR="00213806" w:rsidRDefault="00213806" w:rsidP="0072256E">
            <w:pPr>
              <w:jc w:val="center"/>
              <w:rPr>
                <w:sz w:val="20"/>
              </w:rPr>
            </w:pPr>
            <w:r>
              <w:rPr>
                <w:sz w:val="20"/>
              </w:rPr>
              <w:t>396 575</w:t>
            </w:r>
          </w:p>
        </w:tc>
        <w:tc>
          <w:tcPr>
            <w:tcW w:w="992" w:type="dxa"/>
          </w:tcPr>
          <w:p w14:paraId="740D9F54" w14:textId="40592D7B" w:rsidR="00213806" w:rsidRDefault="00213806" w:rsidP="0072256E">
            <w:pPr>
              <w:jc w:val="center"/>
              <w:rPr>
                <w:sz w:val="20"/>
              </w:rPr>
            </w:pPr>
            <w:r>
              <w:rPr>
                <w:sz w:val="20"/>
              </w:rPr>
              <w:t>746</w:t>
            </w:r>
          </w:p>
        </w:tc>
        <w:tc>
          <w:tcPr>
            <w:tcW w:w="992" w:type="dxa"/>
          </w:tcPr>
          <w:p w14:paraId="49A64915" w14:textId="77777777" w:rsidR="00213806" w:rsidRDefault="00213806" w:rsidP="0072256E">
            <w:pPr>
              <w:jc w:val="center"/>
              <w:rPr>
                <w:sz w:val="20"/>
              </w:rPr>
            </w:pPr>
          </w:p>
        </w:tc>
        <w:tc>
          <w:tcPr>
            <w:tcW w:w="993" w:type="dxa"/>
          </w:tcPr>
          <w:p w14:paraId="0B4E964E" w14:textId="7E52C607" w:rsidR="00213806" w:rsidRDefault="00213806" w:rsidP="0072256E">
            <w:pPr>
              <w:jc w:val="center"/>
              <w:rPr>
                <w:sz w:val="20"/>
              </w:rPr>
            </w:pPr>
            <w:r>
              <w:rPr>
                <w:sz w:val="20"/>
              </w:rPr>
              <w:t>23 948</w:t>
            </w:r>
          </w:p>
        </w:tc>
        <w:tc>
          <w:tcPr>
            <w:tcW w:w="992" w:type="dxa"/>
          </w:tcPr>
          <w:p w14:paraId="60E8E27C" w14:textId="21C20F2F" w:rsidR="00213806" w:rsidRDefault="00213806" w:rsidP="0072256E">
            <w:pPr>
              <w:jc w:val="center"/>
              <w:rPr>
                <w:sz w:val="20"/>
              </w:rPr>
            </w:pPr>
            <w:r>
              <w:rPr>
                <w:sz w:val="20"/>
              </w:rPr>
              <w:t>63 027</w:t>
            </w:r>
            <w:r>
              <w:rPr>
                <w:rStyle w:val="Appelnotedebasdep"/>
                <w:sz w:val="20"/>
              </w:rPr>
              <w:footnoteReference w:id="9"/>
            </w:r>
          </w:p>
        </w:tc>
        <w:tc>
          <w:tcPr>
            <w:tcW w:w="1417" w:type="dxa"/>
          </w:tcPr>
          <w:p w14:paraId="61459912" w14:textId="05BB19EF" w:rsidR="00213806" w:rsidRDefault="00213806" w:rsidP="0072256E">
            <w:pPr>
              <w:jc w:val="center"/>
              <w:rPr>
                <w:sz w:val="20"/>
              </w:rPr>
            </w:pPr>
            <w:r>
              <w:rPr>
                <w:sz w:val="20"/>
              </w:rPr>
              <w:t>20 138</w:t>
            </w:r>
          </w:p>
        </w:tc>
        <w:tc>
          <w:tcPr>
            <w:tcW w:w="1418" w:type="dxa"/>
          </w:tcPr>
          <w:p w14:paraId="460E2234" w14:textId="1A666A44" w:rsidR="00213806" w:rsidRDefault="00213806" w:rsidP="0072256E">
            <w:pPr>
              <w:jc w:val="center"/>
              <w:rPr>
                <w:sz w:val="20"/>
              </w:rPr>
            </w:pPr>
            <w:r>
              <w:rPr>
                <w:sz w:val="20"/>
              </w:rPr>
              <w:t>8 476</w:t>
            </w:r>
          </w:p>
        </w:tc>
        <w:tc>
          <w:tcPr>
            <w:tcW w:w="1276" w:type="dxa"/>
          </w:tcPr>
          <w:p w14:paraId="2742F67D" w14:textId="5360B2B4" w:rsidR="00213806" w:rsidRDefault="00213806" w:rsidP="0072256E">
            <w:pPr>
              <w:jc w:val="center"/>
              <w:rPr>
                <w:sz w:val="20"/>
              </w:rPr>
            </w:pPr>
            <w:r>
              <w:rPr>
                <w:sz w:val="20"/>
              </w:rPr>
              <w:t>23 161</w:t>
            </w:r>
          </w:p>
        </w:tc>
        <w:tc>
          <w:tcPr>
            <w:tcW w:w="1842" w:type="dxa"/>
          </w:tcPr>
          <w:p w14:paraId="4EF6EBD5" w14:textId="15E48271" w:rsidR="00213806" w:rsidRDefault="00213806" w:rsidP="0072256E">
            <w:pPr>
              <w:jc w:val="center"/>
              <w:rPr>
                <w:sz w:val="20"/>
              </w:rPr>
            </w:pPr>
            <w:r>
              <w:rPr>
                <w:sz w:val="20"/>
              </w:rPr>
              <w:t>6 409</w:t>
            </w:r>
          </w:p>
        </w:tc>
      </w:tr>
      <w:tr w:rsidR="0072256E" w:rsidRPr="00411239" w14:paraId="57157959" w14:textId="77777777" w:rsidTr="005C79A8">
        <w:tc>
          <w:tcPr>
            <w:tcW w:w="2410" w:type="dxa"/>
          </w:tcPr>
          <w:p w14:paraId="62D2E6A6" w14:textId="0C8E7D5D" w:rsidR="0072256E" w:rsidRPr="00411239" w:rsidRDefault="0072256E" w:rsidP="0072256E">
            <w:pPr>
              <w:rPr>
                <w:sz w:val="20"/>
              </w:rPr>
            </w:pPr>
            <w:r>
              <w:rPr>
                <w:sz w:val="20"/>
              </w:rPr>
              <w:t>PIB</w:t>
            </w:r>
            <w:r w:rsidR="00A90ACE">
              <w:rPr>
                <w:sz w:val="20"/>
              </w:rPr>
              <w:t xml:space="preserve"> (milliards</w:t>
            </w:r>
            <w:r w:rsidR="005C79A8">
              <w:rPr>
                <w:sz w:val="20"/>
              </w:rPr>
              <w:t xml:space="preserve"> €</w:t>
            </w:r>
            <w:r w:rsidR="00A90ACE">
              <w:rPr>
                <w:sz w:val="20"/>
              </w:rPr>
              <w:t>)</w:t>
            </w:r>
          </w:p>
        </w:tc>
        <w:tc>
          <w:tcPr>
            <w:tcW w:w="1560" w:type="dxa"/>
          </w:tcPr>
          <w:p w14:paraId="4FE7570E" w14:textId="40533145" w:rsidR="0072256E" w:rsidRPr="00411239" w:rsidRDefault="00A90ACE" w:rsidP="00A90ACE">
            <w:pPr>
              <w:jc w:val="center"/>
              <w:rPr>
                <w:sz w:val="20"/>
              </w:rPr>
            </w:pPr>
            <w:r>
              <w:rPr>
                <w:sz w:val="20"/>
              </w:rPr>
              <w:t>4</w:t>
            </w:r>
            <w:r w:rsidR="001E13CB">
              <w:rPr>
                <w:sz w:val="20"/>
              </w:rPr>
              <w:t>78 160</w:t>
            </w:r>
          </w:p>
        </w:tc>
        <w:tc>
          <w:tcPr>
            <w:tcW w:w="992" w:type="dxa"/>
          </w:tcPr>
          <w:p w14:paraId="79038B60" w14:textId="77777777" w:rsidR="0072256E" w:rsidRPr="00411239" w:rsidRDefault="0072256E" w:rsidP="0072256E">
            <w:pPr>
              <w:rPr>
                <w:sz w:val="20"/>
              </w:rPr>
            </w:pPr>
          </w:p>
        </w:tc>
        <w:tc>
          <w:tcPr>
            <w:tcW w:w="992" w:type="dxa"/>
          </w:tcPr>
          <w:p w14:paraId="1806D32B" w14:textId="77777777" w:rsidR="0072256E" w:rsidRPr="00411239" w:rsidRDefault="0072256E" w:rsidP="0072256E">
            <w:pPr>
              <w:rPr>
                <w:sz w:val="20"/>
              </w:rPr>
            </w:pPr>
          </w:p>
        </w:tc>
        <w:tc>
          <w:tcPr>
            <w:tcW w:w="992" w:type="dxa"/>
          </w:tcPr>
          <w:p w14:paraId="58DFE4AC" w14:textId="77777777" w:rsidR="0072256E" w:rsidRPr="00411239" w:rsidRDefault="0072256E" w:rsidP="0072256E">
            <w:pPr>
              <w:rPr>
                <w:sz w:val="20"/>
              </w:rPr>
            </w:pPr>
          </w:p>
        </w:tc>
        <w:tc>
          <w:tcPr>
            <w:tcW w:w="993" w:type="dxa"/>
          </w:tcPr>
          <w:p w14:paraId="20548256" w14:textId="77777777" w:rsidR="0072256E" w:rsidRPr="00411239" w:rsidRDefault="0072256E" w:rsidP="0072256E">
            <w:pPr>
              <w:rPr>
                <w:sz w:val="20"/>
              </w:rPr>
            </w:pPr>
          </w:p>
        </w:tc>
        <w:tc>
          <w:tcPr>
            <w:tcW w:w="992" w:type="dxa"/>
          </w:tcPr>
          <w:p w14:paraId="10EAA033" w14:textId="77777777" w:rsidR="0072256E" w:rsidRPr="00411239" w:rsidRDefault="0072256E" w:rsidP="0072256E">
            <w:pPr>
              <w:rPr>
                <w:sz w:val="20"/>
              </w:rPr>
            </w:pPr>
          </w:p>
        </w:tc>
        <w:tc>
          <w:tcPr>
            <w:tcW w:w="1417" w:type="dxa"/>
          </w:tcPr>
          <w:p w14:paraId="6518EDA3" w14:textId="347BEAC7" w:rsidR="0072256E" w:rsidRPr="00411239" w:rsidRDefault="0072256E" w:rsidP="0072256E">
            <w:pPr>
              <w:rPr>
                <w:sz w:val="20"/>
              </w:rPr>
            </w:pPr>
          </w:p>
        </w:tc>
        <w:tc>
          <w:tcPr>
            <w:tcW w:w="1418" w:type="dxa"/>
          </w:tcPr>
          <w:p w14:paraId="08618299" w14:textId="77777777" w:rsidR="0072256E" w:rsidRPr="00411239" w:rsidRDefault="0072256E" w:rsidP="0072256E">
            <w:pPr>
              <w:rPr>
                <w:sz w:val="20"/>
              </w:rPr>
            </w:pPr>
          </w:p>
        </w:tc>
        <w:tc>
          <w:tcPr>
            <w:tcW w:w="1276" w:type="dxa"/>
          </w:tcPr>
          <w:p w14:paraId="1FDBEF24" w14:textId="77777777" w:rsidR="0072256E" w:rsidRPr="00411239" w:rsidRDefault="0072256E" w:rsidP="0072256E">
            <w:pPr>
              <w:rPr>
                <w:sz w:val="20"/>
              </w:rPr>
            </w:pPr>
          </w:p>
        </w:tc>
        <w:tc>
          <w:tcPr>
            <w:tcW w:w="1842" w:type="dxa"/>
          </w:tcPr>
          <w:p w14:paraId="5371FD76" w14:textId="77777777" w:rsidR="0072256E" w:rsidRPr="00411239" w:rsidRDefault="0072256E" w:rsidP="0072256E">
            <w:pPr>
              <w:rPr>
                <w:sz w:val="20"/>
              </w:rPr>
            </w:pPr>
          </w:p>
        </w:tc>
      </w:tr>
      <w:tr w:rsidR="0072256E" w:rsidRPr="00411239" w14:paraId="1FB47DE0" w14:textId="77777777" w:rsidTr="005C79A8">
        <w:tc>
          <w:tcPr>
            <w:tcW w:w="2410" w:type="dxa"/>
          </w:tcPr>
          <w:p w14:paraId="6DDD313B" w14:textId="5E332D21" w:rsidR="0072256E" w:rsidRPr="00A3307B" w:rsidRDefault="0072256E" w:rsidP="0072256E">
            <w:pPr>
              <w:rPr>
                <w:b/>
                <w:bCs/>
                <w:sz w:val="20"/>
              </w:rPr>
            </w:pPr>
            <w:r w:rsidRPr="00A3307B">
              <w:rPr>
                <w:b/>
                <w:bCs/>
                <w:sz w:val="20"/>
              </w:rPr>
              <w:t>En millions €</w:t>
            </w:r>
            <w:r w:rsidRPr="00A3307B">
              <w:rPr>
                <w:rStyle w:val="Appelnotedebasdep"/>
                <w:b/>
                <w:bCs/>
                <w:sz w:val="20"/>
              </w:rPr>
              <w:footnoteReference w:id="10"/>
            </w:r>
          </w:p>
        </w:tc>
        <w:tc>
          <w:tcPr>
            <w:tcW w:w="1560" w:type="dxa"/>
          </w:tcPr>
          <w:p w14:paraId="59B6A5D5" w14:textId="709D17CA" w:rsidR="0072256E" w:rsidRPr="00411239" w:rsidRDefault="0072256E" w:rsidP="0072256E">
            <w:pPr>
              <w:rPr>
                <w:b/>
                <w:bCs/>
                <w:sz w:val="20"/>
              </w:rPr>
            </w:pPr>
            <w:r w:rsidRPr="00411239">
              <w:rPr>
                <w:b/>
                <w:bCs/>
                <w:sz w:val="20"/>
              </w:rPr>
              <w:t>Communauté germanophone</w:t>
            </w:r>
          </w:p>
        </w:tc>
        <w:tc>
          <w:tcPr>
            <w:tcW w:w="992" w:type="dxa"/>
          </w:tcPr>
          <w:p w14:paraId="4F04D0E4" w14:textId="2A0C12EE" w:rsidR="0072256E" w:rsidRPr="00411239" w:rsidRDefault="0072256E" w:rsidP="005C79A8">
            <w:pPr>
              <w:jc w:val="center"/>
              <w:rPr>
                <w:b/>
                <w:bCs/>
                <w:sz w:val="20"/>
              </w:rPr>
            </w:pPr>
            <w:r w:rsidRPr="00411239">
              <w:rPr>
                <w:b/>
                <w:bCs/>
                <w:sz w:val="20"/>
              </w:rPr>
              <w:t>COCOF</w:t>
            </w:r>
          </w:p>
        </w:tc>
        <w:tc>
          <w:tcPr>
            <w:tcW w:w="992" w:type="dxa"/>
          </w:tcPr>
          <w:p w14:paraId="06CEA5FB" w14:textId="02E2B9FC" w:rsidR="0072256E" w:rsidRPr="00411239" w:rsidRDefault="0072256E" w:rsidP="005C79A8">
            <w:pPr>
              <w:jc w:val="center"/>
              <w:rPr>
                <w:b/>
                <w:bCs/>
                <w:sz w:val="20"/>
              </w:rPr>
            </w:pPr>
            <w:r w:rsidRPr="00411239">
              <w:rPr>
                <w:b/>
                <w:bCs/>
                <w:sz w:val="20"/>
              </w:rPr>
              <w:t>VGC</w:t>
            </w:r>
          </w:p>
        </w:tc>
        <w:tc>
          <w:tcPr>
            <w:tcW w:w="992" w:type="dxa"/>
          </w:tcPr>
          <w:p w14:paraId="40C237EB" w14:textId="1C575A62" w:rsidR="0072256E" w:rsidRPr="00411239" w:rsidRDefault="0072256E" w:rsidP="005C79A8">
            <w:pPr>
              <w:jc w:val="center"/>
              <w:rPr>
                <w:b/>
                <w:bCs/>
                <w:sz w:val="20"/>
              </w:rPr>
            </w:pPr>
            <w:r w:rsidRPr="00411239">
              <w:rPr>
                <w:b/>
                <w:bCs/>
                <w:sz w:val="20"/>
              </w:rPr>
              <w:t>COCOM</w:t>
            </w:r>
          </w:p>
        </w:tc>
        <w:tc>
          <w:tcPr>
            <w:tcW w:w="993" w:type="dxa"/>
          </w:tcPr>
          <w:p w14:paraId="75E812E0" w14:textId="77777777" w:rsidR="0072256E" w:rsidRPr="00411239" w:rsidRDefault="0072256E" w:rsidP="0072256E">
            <w:pPr>
              <w:rPr>
                <w:sz w:val="20"/>
              </w:rPr>
            </w:pPr>
          </w:p>
        </w:tc>
        <w:tc>
          <w:tcPr>
            <w:tcW w:w="992" w:type="dxa"/>
          </w:tcPr>
          <w:p w14:paraId="56DB6FE8" w14:textId="77777777" w:rsidR="0072256E" w:rsidRPr="00411239" w:rsidRDefault="0072256E" w:rsidP="0072256E">
            <w:pPr>
              <w:rPr>
                <w:sz w:val="20"/>
              </w:rPr>
            </w:pPr>
          </w:p>
        </w:tc>
        <w:tc>
          <w:tcPr>
            <w:tcW w:w="1417" w:type="dxa"/>
          </w:tcPr>
          <w:p w14:paraId="632919C7" w14:textId="14107815" w:rsidR="0072256E" w:rsidRPr="00411239" w:rsidRDefault="0072256E" w:rsidP="0072256E">
            <w:pPr>
              <w:rPr>
                <w:sz w:val="20"/>
              </w:rPr>
            </w:pPr>
          </w:p>
        </w:tc>
        <w:tc>
          <w:tcPr>
            <w:tcW w:w="1418" w:type="dxa"/>
          </w:tcPr>
          <w:p w14:paraId="3ACED19E" w14:textId="77777777" w:rsidR="0072256E" w:rsidRPr="00411239" w:rsidRDefault="0072256E" w:rsidP="0072256E">
            <w:pPr>
              <w:rPr>
                <w:sz w:val="20"/>
              </w:rPr>
            </w:pPr>
          </w:p>
        </w:tc>
        <w:tc>
          <w:tcPr>
            <w:tcW w:w="1276" w:type="dxa"/>
          </w:tcPr>
          <w:p w14:paraId="2B4C6A93" w14:textId="77777777" w:rsidR="0072256E" w:rsidRPr="00411239" w:rsidRDefault="0072256E" w:rsidP="0072256E">
            <w:pPr>
              <w:rPr>
                <w:sz w:val="20"/>
              </w:rPr>
            </w:pPr>
          </w:p>
        </w:tc>
        <w:tc>
          <w:tcPr>
            <w:tcW w:w="1842" w:type="dxa"/>
          </w:tcPr>
          <w:p w14:paraId="2DA14A84" w14:textId="77777777" w:rsidR="0072256E" w:rsidRPr="00411239" w:rsidRDefault="0072256E" w:rsidP="0072256E">
            <w:pPr>
              <w:rPr>
                <w:sz w:val="20"/>
              </w:rPr>
            </w:pPr>
          </w:p>
        </w:tc>
      </w:tr>
      <w:tr w:rsidR="0072256E" w:rsidRPr="00411239" w14:paraId="5749AB9B" w14:textId="77777777" w:rsidTr="005C79A8">
        <w:tc>
          <w:tcPr>
            <w:tcW w:w="2410" w:type="dxa"/>
          </w:tcPr>
          <w:p w14:paraId="6A4DBEA2" w14:textId="1B9A9DD5" w:rsidR="0072256E" w:rsidRPr="00411239" w:rsidRDefault="0072256E" w:rsidP="0072256E">
            <w:pPr>
              <w:jc w:val="center"/>
              <w:rPr>
                <w:sz w:val="20"/>
              </w:rPr>
            </w:pPr>
            <w:r w:rsidRPr="00411239">
              <w:rPr>
                <w:sz w:val="20"/>
              </w:rPr>
              <w:t>Recettes totales effectives</w:t>
            </w:r>
          </w:p>
        </w:tc>
        <w:tc>
          <w:tcPr>
            <w:tcW w:w="1560" w:type="dxa"/>
          </w:tcPr>
          <w:p w14:paraId="439738E6" w14:textId="3F5F8685" w:rsidR="0072256E" w:rsidRPr="00411239" w:rsidRDefault="0072256E" w:rsidP="0072256E">
            <w:pPr>
              <w:jc w:val="center"/>
              <w:rPr>
                <w:sz w:val="20"/>
              </w:rPr>
            </w:pPr>
            <w:r>
              <w:rPr>
                <w:sz w:val="20"/>
              </w:rPr>
              <w:t>345.1</w:t>
            </w:r>
          </w:p>
        </w:tc>
        <w:tc>
          <w:tcPr>
            <w:tcW w:w="992" w:type="dxa"/>
          </w:tcPr>
          <w:p w14:paraId="1B6EA68D" w14:textId="7CDA8A9B" w:rsidR="0072256E" w:rsidRPr="00411239" w:rsidRDefault="0072256E" w:rsidP="0072256E">
            <w:pPr>
              <w:jc w:val="center"/>
              <w:rPr>
                <w:sz w:val="20"/>
              </w:rPr>
            </w:pPr>
            <w:r>
              <w:rPr>
                <w:sz w:val="20"/>
              </w:rPr>
              <w:t>523.2</w:t>
            </w:r>
          </w:p>
        </w:tc>
        <w:tc>
          <w:tcPr>
            <w:tcW w:w="992" w:type="dxa"/>
          </w:tcPr>
          <w:p w14:paraId="7EF81E46" w14:textId="3033CC30" w:rsidR="0072256E" w:rsidRPr="00411239" w:rsidRDefault="0072256E" w:rsidP="0072256E">
            <w:pPr>
              <w:jc w:val="center"/>
              <w:rPr>
                <w:sz w:val="20"/>
              </w:rPr>
            </w:pPr>
            <w:r>
              <w:rPr>
                <w:sz w:val="20"/>
              </w:rPr>
              <w:t>158.2</w:t>
            </w:r>
          </w:p>
        </w:tc>
        <w:tc>
          <w:tcPr>
            <w:tcW w:w="992" w:type="dxa"/>
          </w:tcPr>
          <w:p w14:paraId="0FAE6655" w14:textId="6A669145" w:rsidR="0072256E" w:rsidRPr="00411239" w:rsidRDefault="0072256E" w:rsidP="0072256E">
            <w:pPr>
              <w:jc w:val="center"/>
              <w:rPr>
                <w:sz w:val="20"/>
              </w:rPr>
            </w:pPr>
            <w:r>
              <w:rPr>
                <w:sz w:val="20"/>
              </w:rPr>
              <w:t>1421.0</w:t>
            </w:r>
          </w:p>
        </w:tc>
        <w:tc>
          <w:tcPr>
            <w:tcW w:w="993" w:type="dxa"/>
          </w:tcPr>
          <w:p w14:paraId="30988AF2" w14:textId="77777777" w:rsidR="0072256E" w:rsidRPr="00411239" w:rsidRDefault="0072256E" w:rsidP="0072256E">
            <w:pPr>
              <w:jc w:val="center"/>
              <w:rPr>
                <w:sz w:val="20"/>
              </w:rPr>
            </w:pPr>
          </w:p>
        </w:tc>
        <w:tc>
          <w:tcPr>
            <w:tcW w:w="992" w:type="dxa"/>
          </w:tcPr>
          <w:p w14:paraId="105FABD3" w14:textId="0BF07DE6" w:rsidR="0072256E" w:rsidRPr="00411239" w:rsidRDefault="0072256E" w:rsidP="0072256E">
            <w:pPr>
              <w:jc w:val="center"/>
              <w:rPr>
                <w:sz w:val="20"/>
              </w:rPr>
            </w:pPr>
          </w:p>
        </w:tc>
        <w:tc>
          <w:tcPr>
            <w:tcW w:w="1417" w:type="dxa"/>
          </w:tcPr>
          <w:p w14:paraId="67172500" w14:textId="3B60EC8D" w:rsidR="0072256E" w:rsidRPr="00411239" w:rsidRDefault="0072256E" w:rsidP="0072256E">
            <w:pPr>
              <w:jc w:val="center"/>
              <w:rPr>
                <w:sz w:val="20"/>
              </w:rPr>
            </w:pPr>
          </w:p>
        </w:tc>
        <w:tc>
          <w:tcPr>
            <w:tcW w:w="1418" w:type="dxa"/>
          </w:tcPr>
          <w:p w14:paraId="7DF36EF3" w14:textId="77777777" w:rsidR="0072256E" w:rsidRPr="00411239" w:rsidRDefault="0072256E" w:rsidP="0072256E">
            <w:pPr>
              <w:jc w:val="center"/>
              <w:rPr>
                <w:sz w:val="20"/>
              </w:rPr>
            </w:pPr>
          </w:p>
        </w:tc>
        <w:tc>
          <w:tcPr>
            <w:tcW w:w="1276" w:type="dxa"/>
          </w:tcPr>
          <w:p w14:paraId="7EF46D70" w14:textId="77777777" w:rsidR="0072256E" w:rsidRPr="00411239" w:rsidRDefault="0072256E" w:rsidP="0072256E">
            <w:pPr>
              <w:jc w:val="center"/>
              <w:rPr>
                <w:sz w:val="20"/>
              </w:rPr>
            </w:pPr>
          </w:p>
        </w:tc>
        <w:tc>
          <w:tcPr>
            <w:tcW w:w="1842" w:type="dxa"/>
          </w:tcPr>
          <w:p w14:paraId="021769FC" w14:textId="77777777" w:rsidR="0072256E" w:rsidRPr="00411239" w:rsidRDefault="0072256E" w:rsidP="0072256E">
            <w:pPr>
              <w:jc w:val="center"/>
              <w:rPr>
                <w:sz w:val="20"/>
              </w:rPr>
            </w:pPr>
          </w:p>
        </w:tc>
      </w:tr>
      <w:tr w:rsidR="0072256E" w:rsidRPr="00411239" w14:paraId="522D3275" w14:textId="77777777" w:rsidTr="005C79A8">
        <w:tc>
          <w:tcPr>
            <w:tcW w:w="2410" w:type="dxa"/>
          </w:tcPr>
          <w:p w14:paraId="404948F4" w14:textId="15A5A623" w:rsidR="0072256E" w:rsidRPr="00411239" w:rsidRDefault="0072256E" w:rsidP="0072256E">
            <w:pPr>
              <w:jc w:val="center"/>
              <w:rPr>
                <w:sz w:val="20"/>
              </w:rPr>
            </w:pPr>
            <w:r w:rsidRPr="00411239">
              <w:rPr>
                <w:sz w:val="20"/>
              </w:rPr>
              <w:t>Dépenses primaires</w:t>
            </w:r>
          </w:p>
        </w:tc>
        <w:tc>
          <w:tcPr>
            <w:tcW w:w="1560" w:type="dxa"/>
          </w:tcPr>
          <w:p w14:paraId="56809BD8" w14:textId="3366D971" w:rsidR="0072256E" w:rsidRPr="00411239" w:rsidRDefault="0072256E" w:rsidP="0072256E">
            <w:pPr>
              <w:jc w:val="center"/>
              <w:rPr>
                <w:sz w:val="20"/>
              </w:rPr>
            </w:pPr>
            <w:r>
              <w:rPr>
                <w:sz w:val="20"/>
              </w:rPr>
              <w:t>359.0</w:t>
            </w:r>
          </w:p>
        </w:tc>
        <w:tc>
          <w:tcPr>
            <w:tcW w:w="992" w:type="dxa"/>
          </w:tcPr>
          <w:p w14:paraId="1EE79A31" w14:textId="5B207923" w:rsidR="0072256E" w:rsidRPr="00411239" w:rsidRDefault="0072256E" w:rsidP="0072256E">
            <w:pPr>
              <w:jc w:val="center"/>
              <w:rPr>
                <w:sz w:val="20"/>
              </w:rPr>
            </w:pPr>
            <w:r>
              <w:rPr>
                <w:sz w:val="20"/>
              </w:rPr>
              <w:t>531.4</w:t>
            </w:r>
          </w:p>
        </w:tc>
        <w:tc>
          <w:tcPr>
            <w:tcW w:w="992" w:type="dxa"/>
          </w:tcPr>
          <w:p w14:paraId="361312C8" w14:textId="0D71C291" w:rsidR="0072256E" w:rsidRPr="00411239" w:rsidRDefault="0072256E" w:rsidP="0072256E">
            <w:pPr>
              <w:jc w:val="center"/>
              <w:rPr>
                <w:sz w:val="20"/>
              </w:rPr>
            </w:pPr>
            <w:r>
              <w:rPr>
                <w:sz w:val="20"/>
              </w:rPr>
              <w:t>160.3</w:t>
            </w:r>
          </w:p>
        </w:tc>
        <w:tc>
          <w:tcPr>
            <w:tcW w:w="992" w:type="dxa"/>
          </w:tcPr>
          <w:p w14:paraId="14C4595A" w14:textId="2AD2EDE0" w:rsidR="0072256E" w:rsidRPr="00411239" w:rsidRDefault="0072256E" w:rsidP="0072256E">
            <w:pPr>
              <w:jc w:val="center"/>
              <w:rPr>
                <w:sz w:val="20"/>
              </w:rPr>
            </w:pPr>
            <w:r>
              <w:rPr>
                <w:sz w:val="20"/>
              </w:rPr>
              <w:t>1425.0</w:t>
            </w:r>
          </w:p>
        </w:tc>
        <w:tc>
          <w:tcPr>
            <w:tcW w:w="993" w:type="dxa"/>
          </w:tcPr>
          <w:p w14:paraId="4BA48B3D" w14:textId="77777777" w:rsidR="0072256E" w:rsidRPr="00411239" w:rsidRDefault="0072256E" w:rsidP="0072256E">
            <w:pPr>
              <w:jc w:val="center"/>
              <w:rPr>
                <w:sz w:val="20"/>
              </w:rPr>
            </w:pPr>
          </w:p>
        </w:tc>
        <w:tc>
          <w:tcPr>
            <w:tcW w:w="992" w:type="dxa"/>
          </w:tcPr>
          <w:p w14:paraId="22D00CD7" w14:textId="241AA155" w:rsidR="0072256E" w:rsidRPr="00411239" w:rsidRDefault="0072256E" w:rsidP="0072256E">
            <w:pPr>
              <w:jc w:val="center"/>
              <w:rPr>
                <w:sz w:val="20"/>
              </w:rPr>
            </w:pPr>
          </w:p>
        </w:tc>
        <w:tc>
          <w:tcPr>
            <w:tcW w:w="1417" w:type="dxa"/>
          </w:tcPr>
          <w:p w14:paraId="027E902F" w14:textId="414F85E2" w:rsidR="0072256E" w:rsidRPr="00411239" w:rsidRDefault="0072256E" w:rsidP="0072256E">
            <w:pPr>
              <w:jc w:val="center"/>
              <w:rPr>
                <w:sz w:val="20"/>
              </w:rPr>
            </w:pPr>
          </w:p>
        </w:tc>
        <w:tc>
          <w:tcPr>
            <w:tcW w:w="1418" w:type="dxa"/>
          </w:tcPr>
          <w:p w14:paraId="4C6E1990" w14:textId="77777777" w:rsidR="0072256E" w:rsidRPr="00411239" w:rsidRDefault="0072256E" w:rsidP="0072256E">
            <w:pPr>
              <w:jc w:val="center"/>
              <w:rPr>
                <w:sz w:val="20"/>
              </w:rPr>
            </w:pPr>
          </w:p>
        </w:tc>
        <w:tc>
          <w:tcPr>
            <w:tcW w:w="1276" w:type="dxa"/>
          </w:tcPr>
          <w:p w14:paraId="36D795E3" w14:textId="77777777" w:rsidR="0072256E" w:rsidRPr="00411239" w:rsidRDefault="0072256E" w:rsidP="0072256E">
            <w:pPr>
              <w:jc w:val="center"/>
              <w:rPr>
                <w:sz w:val="20"/>
              </w:rPr>
            </w:pPr>
          </w:p>
        </w:tc>
        <w:tc>
          <w:tcPr>
            <w:tcW w:w="1842" w:type="dxa"/>
          </w:tcPr>
          <w:p w14:paraId="079DF784" w14:textId="77777777" w:rsidR="0072256E" w:rsidRPr="00411239" w:rsidRDefault="0072256E" w:rsidP="0072256E">
            <w:pPr>
              <w:jc w:val="center"/>
              <w:rPr>
                <w:sz w:val="20"/>
              </w:rPr>
            </w:pPr>
          </w:p>
        </w:tc>
      </w:tr>
      <w:tr w:rsidR="0072256E" w:rsidRPr="00411239" w14:paraId="5A46C54E" w14:textId="77777777" w:rsidTr="005C79A8">
        <w:tc>
          <w:tcPr>
            <w:tcW w:w="2410" w:type="dxa"/>
          </w:tcPr>
          <w:p w14:paraId="2AF5927D" w14:textId="0EE34836" w:rsidR="0072256E" w:rsidRPr="00411239" w:rsidRDefault="0072256E" w:rsidP="0072256E">
            <w:pPr>
              <w:jc w:val="center"/>
              <w:rPr>
                <w:sz w:val="20"/>
              </w:rPr>
            </w:pPr>
            <w:r w:rsidRPr="00411239">
              <w:rPr>
                <w:sz w:val="20"/>
              </w:rPr>
              <w:t>Solde primaire</w:t>
            </w:r>
          </w:p>
        </w:tc>
        <w:tc>
          <w:tcPr>
            <w:tcW w:w="1560" w:type="dxa"/>
          </w:tcPr>
          <w:p w14:paraId="2A01930A" w14:textId="36670D84" w:rsidR="0072256E" w:rsidRPr="00411239" w:rsidRDefault="0072256E" w:rsidP="0072256E">
            <w:pPr>
              <w:jc w:val="center"/>
              <w:rPr>
                <w:sz w:val="20"/>
              </w:rPr>
            </w:pPr>
            <w:r>
              <w:rPr>
                <w:sz w:val="20"/>
              </w:rPr>
              <w:t>-13.9</w:t>
            </w:r>
          </w:p>
        </w:tc>
        <w:tc>
          <w:tcPr>
            <w:tcW w:w="992" w:type="dxa"/>
          </w:tcPr>
          <w:p w14:paraId="1972A101" w14:textId="26071184" w:rsidR="0072256E" w:rsidRPr="00411239" w:rsidRDefault="0072256E" w:rsidP="0072256E">
            <w:pPr>
              <w:jc w:val="center"/>
              <w:rPr>
                <w:sz w:val="20"/>
              </w:rPr>
            </w:pPr>
            <w:r>
              <w:rPr>
                <w:sz w:val="20"/>
              </w:rPr>
              <w:t>-8.3</w:t>
            </w:r>
          </w:p>
        </w:tc>
        <w:tc>
          <w:tcPr>
            <w:tcW w:w="992" w:type="dxa"/>
          </w:tcPr>
          <w:p w14:paraId="5D9769F2" w14:textId="605A0474" w:rsidR="0072256E" w:rsidRPr="00411239" w:rsidRDefault="0072256E" w:rsidP="0072256E">
            <w:pPr>
              <w:jc w:val="center"/>
              <w:rPr>
                <w:sz w:val="20"/>
              </w:rPr>
            </w:pPr>
            <w:r>
              <w:rPr>
                <w:sz w:val="20"/>
              </w:rPr>
              <w:t>-2.1</w:t>
            </w:r>
          </w:p>
        </w:tc>
        <w:tc>
          <w:tcPr>
            <w:tcW w:w="992" w:type="dxa"/>
          </w:tcPr>
          <w:p w14:paraId="14C846CD" w14:textId="07C1886B" w:rsidR="0072256E" w:rsidRPr="00411239" w:rsidRDefault="0072256E" w:rsidP="0072256E">
            <w:pPr>
              <w:jc w:val="center"/>
              <w:rPr>
                <w:sz w:val="20"/>
              </w:rPr>
            </w:pPr>
            <w:r>
              <w:rPr>
                <w:sz w:val="20"/>
              </w:rPr>
              <w:t>-4.0</w:t>
            </w:r>
          </w:p>
        </w:tc>
        <w:tc>
          <w:tcPr>
            <w:tcW w:w="993" w:type="dxa"/>
          </w:tcPr>
          <w:p w14:paraId="6250F0CD" w14:textId="77777777" w:rsidR="0072256E" w:rsidRPr="00411239" w:rsidRDefault="0072256E" w:rsidP="0072256E">
            <w:pPr>
              <w:jc w:val="center"/>
              <w:rPr>
                <w:sz w:val="20"/>
              </w:rPr>
            </w:pPr>
          </w:p>
        </w:tc>
        <w:tc>
          <w:tcPr>
            <w:tcW w:w="992" w:type="dxa"/>
          </w:tcPr>
          <w:p w14:paraId="08E2016A" w14:textId="2CAC01A0" w:rsidR="0072256E" w:rsidRPr="00411239" w:rsidRDefault="0072256E" w:rsidP="0072256E">
            <w:pPr>
              <w:jc w:val="center"/>
              <w:rPr>
                <w:sz w:val="20"/>
              </w:rPr>
            </w:pPr>
          </w:p>
        </w:tc>
        <w:tc>
          <w:tcPr>
            <w:tcW w:w="1417" w:type="dxa"/>
          </w:tcPr>
          <w:p w14:paraId="5632C981" w14:textId="22895080" w:rsidR="0072256E" w:rsidRPr="00411239" w:rsidRDefault="0072256E" w:rsidP="0072256E">
            <w:pPr>
              <w:jc w:val="center"/>
              <w:rPr>
                <w:sz w:val="20"/>
              </w:rPr>
            </w:pPr>
          </w:p>
        </w:tc>
        <w:tc>
          <w:tcPr>
            <w:tcW w:w="1418" w:type="dxa"/>
          </w:tcPr>
          <w:p w14:paraId="75693C51" w14:textId="77777777" w:rsidR="0072256E" w:rsidRPr="00411239" w:rsidRDefault="0072256E" w:rsidP="0072256E">
            <w:pPr>
              <w:jc w:val="center"/>
              <w:rPr>
                <w:sz w:val="20"/>
              </w:rPr>
            </w:pPr>
          </w:p>
        </w:tc>
        <w:tc>
          <w:tcPr>
            <w:tcW w:w="1276" w:type="dxa"/>
          </w:tcPr>
          <w:p w14:paraId="613BE330" w14:textId="77777777" w:rsidR="0072256E" w:rsidRPr="00411239" w:rsidRDefault="0072256E" w:rsidP="0072256E">
            <w:pPr>
              <w:jc w:val="center"/>
              <w:rPr>
                <w:sz w:val="20"/>
              </w:rPr>
            </w:pPr>
          </w:p>
        </w:tc>
        <w:tc>
          <w:tcPr>
            <w:tcW w:w="1842" w:type="dxa"/>
          </w:tcPr>
          <w:p w14:paraId="51879AB4" w14:textId="77777777" w:rsidR="0072256E" w:rsidRPr="00411239" w:rsidRDefault="0072256E" w:rsidP="0072256E">
            <w:pPr>
              <w:jc w:val="center"/>
              <w:rPr>
                <w:sz w:val="20"/>
              </w:rPr>
            </w:pPr>
          </w:p>
        </w:tc>
      </w:tr>
      <w:tr w:rsidR="0072256E" w:rsidRPr="00411239" w14:paraId="537B514A" w14:textId="77777777" w:rsidTr="005C79A8">
        <w:tc>
          <w:tcPr>
            <w:tcW w:w="2410" w:type="dxa"/>
          </w:tcPr>
          <w:p w14:paraId="680C19F9" w14:textId="4055FBA3" w:rsidR="0072256E" w:rsidRPr="00411239" w:rsidRDefault="0072256E" w:rsidP="0072256E">
            <w:pPr>
              <w:jc w:val="center"/>
              <w:rPr>
                <w:sz w:val="20"/>
              </w:rPr>
            </w:pPr>
            <w:r w:rsidRPr="00411239">
              <w:rPr>
                <w:sz w:val="20"/>
              </w:rPr>
              <w:t>Charge d’intérêt</w:t>
            </w:r>
          </w:p>
        </w:tc>
        <w:tc>
          <w:tcPr>
            <w:tcW w:w="1560" w:type="dxa"/>
          </w:tcPr>
          <w:p w14:paraId="334D6117" w14:textId="4E26182E" w:rsidR="0072256E" w:rsidRPr="00411239" w:rsidRDefault="0072256E" w:rsidP="0072256E">
            <w:pPr>
              <w:jc w:val="center"/>
              <w:rPr>
                <w:sz w:val="20"/>
              </w:rPr>
            </w:pPr>
            <w:r>
              <w:rPr>
                <w:sz w:val="20"/>
              </w:rPr>
              <w:t>6.4</w:t>
            </w:r>
          </w:p>
        </w:tc>
        <w:tc>
          <w:tcPr>
            <w:tcW w:w="992" w:type="dxa"/>
          </w:tcPr>
          <w:p w14:paraId="3A927DF5" w14:textId="3C714E60" w:rsidR="0072256E" w:rsidRPr="00411239" w:rsidRDefault="0072256E" w:rsidP="0072256E">
            <w:pPr>
              <w:jc w:val="center"/>
              <w:rPr>
                <w:sz w:val="20"/>
              </w:rPr>
            </w:pPr>
            <w:r>
              <w:rPr>
                <w:sz w:val="20"/>
              </w:rPr>
              <w:t>-0.8</w:t>
            </w:r>
          </w:p>
        </w:tc>
        <w:tc>
          <w:tcPr>
            <w:tcW w:w="992" w:type="dxa"/>
          </w:tcPr>
          <w:p w14:paraId="20F6E83D" w14:textId="0EFC1E1C" w:rsidR="0072256E" w:rsidRPr="00411239" w:rsidRDefault="0072256E" w:rsidP="0072256E">
            <w:pPr>
              <w:jc w:val="center"/>
              <w:rPr>
                <w:sz w:val="20"/>
              </w:rPr>
            </w:pPr>
            <w:r>
              <w:rPr>
                <w:sz w:val="20"/>
              </w:rPr>
              <w:t>3.8</w:t>
            </w:r>
          </w:p>
        </w:tc>
        <w:tc>
          <w:tcPr>
            <w:tcW w:w="992" w:type="dxa"/>
          </w:tcPr>
          <w:p w14:paraId="3B382388" w14:textId="35592523" w:rsidR="0072256E" w:rsidRPr="00411239" w:rsidRDefault="0072256E" w:rsidP="0072256E">
            <w:pPr>
              <w:jc w:val="center"/>
              <w:rPr>
                <w:sz w:val="20"/>
              </w:rPr>
            </w:pPr>
            <w:r>
              <w:rPr>
                <w:sz w:val="20"/>
              </w:rPr>
              <w:t>17.5</w:t>
            </w:r>
          </w:p>
        </w:tc>
        <w:tc>
          <w:tcPr>
            <w:tcW w:w="993" w:type="dxa"/>
          </w:tcPr>
          <w:p w14:paraId="73B7FB29" w14:textId="77777777" w:rsidR="0072256E" w:rsidRPr="00411239" w:rsidRDefault="0072256E" w:rsidP="0072256E">
            <w:pPr>
              <w:jc w:val="center"/>
              <w:rPr>
                <w:sz w:val="20"/>
              </w:rPr>
            </w:pPr>
          </w:p>
        </w:tc>
        <w:tc>
          <w:tcPr>
            <w:tcW w:w="992" w:type="dxa"/>
          </w:tcPr>
          <w:p w14:paraId="471051A4" w14:textId="5DC71ABF" w:rsidR="0072256E" w:rsidRPr="00411239" w:rsidRDefault="0072256E" w:rsidP="0072256E">
            <w:pPr>
              <w:jc w:val="center"/>
              <w:rPr>
                <w:sz w:val="20"/>
              </w:rPr>
            </w:pPr>
          </w:p>
        </w:tc>
        <w:tc>
          <w:tcPr>
            <w:tcW w:w="1417" w:type="dxa"/>
          </w:tcPr>
          <w:p w14:paraId="742B3D2A" w14:textId="615CFAD9" w:rsidR="0072256E" w:rsidRPr="00411239" w:rsidRDefault="0072256E" w:rsidP="0072256E">
            <w:pPr>
              <w:jc w:val="center"/>
              <w:rPr>
                <w:sz w:val="20"/>
              </w:rPr>
            </w:pPr>
          </w:p>
        </w:tc>
        <w:tc>
          <w:tcPr>
            <w:tcW w:w="1418" w:type="dxa"/>
          </w:tcPr>
          <w:p w14:paraId="39D67C67" w14:textId="77777777" w:rsidR="0072256E" w:rsidRPr="00411239" w:rsidRDefault="0072256E" w:rsidP="0072256E">
            <w:pPr>
              <w:jc w:val="center"/>
              <w:rPr>
                <w:sz w:val="20"/>
              </w:rPr>
            </w:pPr>
          </w:p>
        </w:tc>
        <w:tc>
          <w:tcPr>
            <w:tcW w:w="1276" w:type="dxa"/>
          </w:tcPr>
          <w:p w14:paraId="746F56E7" w14:textId="77777777" w:rsidR="0072256E" w:rsidRPr="00411239" w:rsidRDefault="0072256E" w:rsidP="0072256E">
            <w:pPr>
              <w:jc w:val="center"/>
              <w:rPr>
                <w:sz w:val="20"/>
              </w:rPr>
            </w:pPr>
          </w:p>
        </w:tc>
        <w:tc>
          <w:tcPr>
            <w:tcW w:w="1842" w:type="dxa"/>
          </w:tcPr>
          <w:p w14:paraId="6E65D3CD" w14:textId="77777777" w:rsidR="0072256E" w:rsidRPr="00411239" w:rsidRDefault="0072256E" w:rsidP="0072256E">
            <w:pPr>
              <w:jc w:val="center"/>
              <w:rPr>
                <w:sz w:val="20"/>
              </w:rPr>
            </w:pPr>
          </w:p>
        </w:tc>
      </w:tr>
      <w:tr w:rsidR="0072256E" w:rsidRPr="00411239" w14:paraId="487F60D5" w14:textId="77777777" w:rsidTr="005C79A8">
        <w:tc>
          <w:tcPr>
            <w:tcW w:w="2410" w:type="dxa"/>
          </w:tcPr>
          <w:p w14:paraId="3CEA5A6D" w14:textId="3DA362A6" w:rsidR="0072256E" w:rsidRPr="00411239" w:rsidRDefault="0072256E" w:rsidP="0072256E">
            <w:pPr>
              <w:jc w:val="center"/>
              <w:rPr>
                <w:sz w:val="20"/>
              </w:rPr>
            </w:pPr>
            <w:r w:rsidRPr="00411239">
              <w:rPr>
                <w:sz w:val="20"/>
              </w:rPr>
              <w:t>Solde de financement</w:t>
            </w:r>
          </w:p>
        </w:tc>
        <w:tc>
          <w:tcPr>
            <w:tcW w:w="1560" w:type="dxa"/>
          </w:tcPr>
          <w:p w14:paraId="059BD993" w14:textId="0B10DF86" w:rsidR="0072256E" w:rsidRPr="00411239" w:rsidRDefault="0072256E" w:rsidP="0072256E">
            <w:pPr>
              <w:jc w:val="center"/>
              <w:rPr>
                <w:sz w:val="20"/>
              </w:rPr>
            </w:pPr>
            <w:r>
              <w:rPr>
                <w:sz w:val="20"/>
              </w:rPr>
              <w:t>-20.2</w:t>
            </w:r>
          </w:p>
        </w:tc>
        <w:tc>
          <w:tcPr>
            <w:tcW w:w="992" w:type="dxa"/>
          </w:tcPr>
          <w:p w14:paraId="46F684F0" w14:textId="702FF8E0" w:rsidR="0072256E" w:rsidRPr="00411239" w:rsidRDefault="0072256E" w:rsidP="0072256E">
            <w:pPr>
              <w:jc w:val="center"/>
              <w:rPr>
                <w:sz w:val="20"/>
              </w:rPr>
            </w:pPr>
            <w:r>
              <w:rPr>
                <w:sz w:val="20"/>
              </w:rPr>
              <w:t>-8.0</w:t>
            </w:r>
          </w:p>
        </w:tc>
        <w:tc>
          <w:tcPr>
            <w:tcW w:w="992" w:type="dxa"/>
          </w:tcPr>
          <w:p w14:paraId="7A56CF4A" w14:textId="2D01AFD6" w:rsidR="0072256E" w:rsidRPr="00411239" w:rsidRDefault="0072256E" w:rsidP="0072256E">
            <w:pPr>
              <w:jc w:val="center"/>
              <w:rPr>
                <w:sz w:val="20"/>
              </w:rPr>
            </w:pPr>
            <w:r>
              <w:rPr>
                <w:sz w:val="20"/>
              </w:rPr>
              <w:t>-5.8</w:t>
            </w:r>
          </w:p>
        </w:tc>
        <w:tc>
          <w:tcPr>
            <w:tcW w:w="992" w:type="dxa"/>
          </w:tcPr>
          <w:p w14:paraId="6F5B3D7F" w14:textId="149D7C9A" w:rsidR="0072256E" w:rsidRPr="00411239" w:rsidRDefault="0072256E" w:rsidP="0072256E">
            <w:pPr>
              <w:jc w:val="center"/>
              <w:rPr>
                <w:sz w:val="20"/>
              </w:rPr>
            </w:pPr>
            <w:r>
              <w:rPr>
                <w:sz w:val="20"/>
              </w:rPr>
              <w:t>-21.5</w:t>
            </w:r>
          </w:p>
        </w:tc>
        <w:tc>
          <w:tcPr>
            <w:tcW w:w="993" w:type="dxa"/>
          </w:tcPr>
          <w:p w14:paraId="1A531578" w14:textId="77777777" w:rsidR="0072256E" w:rsidRPr="00411239" w:rsidRDefault="0072256E" w:rsidP="0072256E">
            <w:pPr>
              <w:jc w:val="center"/>
              <w:rPr>
                <w:sz w:val="20"/>
              </w:rPr>
            </w:pPr>
          </w:p>
        </w:tc>
        <w:tc>
          <w:tcPr>
            <w:tcW w:w="992" w:type="dxa"/>
          </w:tcPr>
          <w:p w14:paraId="4AD3BFD0" w14:textId="3A59FBC0" w:rsidR="0072256E" w:rsidRPr="00411239" w:rsidRDefault="0072256E" w:rsidP="0072256E">
            <w:pPr>
              <w:jc w:val="center"/>
              <w:rPr>
                <w:sz w:val="20"/>
              </w:rPr>
            </w:pPr>
          </w:p>
        </w:tc>
        <w:tc>
          <w:tcPr>
            <w:tcW w:w="1417" w:type="dxa"/>
          </w:tcPr>
          <w:p w14:paraId="006B5877" w14:textId="5818CF40" w:rsidR="0072256E" w:rsidRPr="00411239" w:rsidRDefault="0072256E" w:rsidP="0072256E">
            <w:pPr>
              <w:jc w:val="center"/>
              <w:rPr>
                <w:sz w:val="20"/>
              </w:rPr>
            </w:pPr>
          </w:p>
        </w:tc>
        <w:tc>
          <w:tcPr>
            <w:tcW w:w="1418" w:type="dxa"/>
          </w:tcPr>
          <w:p w14:paraId="312D85BA" w14:textId="77777777" w:rsidR="0072256E" w:rsidRPr="00411239" w:rsidRDefault="0072256E" w:rsidP="0072256E">
            <w:pPr>
              <w:jc w:val="center"/>
              <w:rPr>
                <w:sz w:val="20"/>
              </w:rPr>
            </w:pPr>
          </w:p>
        </w:tc>
        <w:tc>
          <w:tcPr>
            <w:tcW w:w="1276" w:type="dxa"/>
          </w:tcPr>
          <w:p w14:paraId="3A7008C3" w14:textId="77777777" w:rsidR="0072256E" w:rsidRPr="00411239" w:rsidRDefault="0072256E" w:rsidP="0072256E">
            <w:pPr>
              <w:jc w:val="center"/>
              <w:rPr>
                <w:sz w:val="20"/>
              </w:rPr>
            </w:pPr>
          </w:p>
        </w:tc>
        <w:tc>
          <w:tcPr>
            <w:tcW w:w="1842" w:type="dxa"/>
          </w:tcPr>
          <w:p w14:paraId="770CFE29" w14:textId="77777777" w:rsidR="0072256E" w:rsidRPr="00411239" w:rsidRDefault="0072256E" w:rsidP="0072256E">
            <w:pPr>
              <w:jc w:val="center"/>
              <w:rPr>
                <w:sz w:val="20"/>
              </w:rPr>
            </w:pPr>
          </w:p>
        </w:tc>
      </w:tr>
      <w:tr w:rsidR="00213806" w:rsidRPr="00411239" w14:paraId="73AFB535" w14:textId="77777777" w:rsidTr="005C79A8">
        <w:tc>
          <w:tcPr>
            <w:tcW w:w="2410" w:type="dxa"/>
          </w:tcPr>
          <w:p w14:paraId="08FEDE9A" w14:textId="4DC3B18E" w:rsidR="00213806" w:rsidRPr="00411239" w:rsidRDefault="00213806" w:rsidP="0072256E">
            <w:pPr>
              <w:jc w:val="center"/>
              <w:rPr>
                <w:sz w:val="20"/>
              </w:rPr>
            </w:pPr>
            <w:r>
              <w:rPr>
                <w:sz w:val="20"/>
              </w:rPr>
              <w:t>Dette publique (milli</w:t>
            </w:r>
            <w:r w:rsidR="008D42C2">
              <w:rPr>
                <w:sz w:val="20"/>
              </w:rPr>
              <w:t>ons</w:t>
            </w:r>
            <w:r>
              <w:rPr>
                <w:sz w:val="20"/>
              </w:rPr>
              <w:t>)</w:t>
            </w:r>
          </w:p>
        </w:tc>
        <w:tc>
          <w:tcPr>
            <w:tcW w:w="1560" w:type="dxa"/>
          </w:tcPr>
          <w:p w14:paraId="34AE713E" w14:textId="14C30453" w:rsidR="00213806" w:rsidRDefault="00213806" w:rsidP="0072256E">
            <w:pPr>
              <w:jc w:val="center"/>
              <w:rPr>
                <w:sz w:val="20"/>
              </w:rPr>
            </w:pPr>
            <w:r>
              <w:rPr>
                <w:sz w:val="20"/>
              </w:rPr>
              <w:t>475</w:t>
            </w:r>
          </w:p>
        </w:tc>
        <w:tc>
          <w:tcPr>
            <w:tcW w:w="992" w:type="dxa"/>
          </w:tcPr>
          <w:p w14:paraId="233B3350" w14:textId="0A55B86B" w:rsidR="00213806" w:rsidRDefault="00213806" w:rsidP="0072256E">
            <w:pPr>
              <w:jc w:val="center"/>
              <w:rPr>
                <w:sz w:val="20"/>
              </w:rPr>
            </w:pPr>
            <w:r>
              <w:rPr>
                <w:sz w:val="20"/>
              </w:rPr>
              <w:t>191</w:t>
            </w:r>
          </w:p>
        </w:tc>
        <w:tc>
          <w:tcPr>
            <w:tcW w:w="992" w:type="dxa"/>
          </w:tcPr>
          <w:p w14:paraId="312C4B19" w14:textId="66C02A31" w:rsidR="00213806" w:rsidRDefault="00213806" w:rsidP="0072256E">
            <w:pPr>
              <w:jc w:val="center"/>
              <w:rPr>
                <w:sz w:val="20"/>
              </w:rPr>
            </w:pPr>
            <w:r>
              <w:rPr>
                <w:sz w:val="20"/>
              </w:rPr>
              <w:t>11</w:t>
            </w:r>
          </w:p>
        </w:tc>
        <w:tc>
          <w:tcPr>
            <w:tcW w:w="992" w:type="dxa"/>
          </w:tcPr>
          <w:p w14:paraId="0B49B90E" w14:textId="556D0C2D" w:rsidR="00213806" w:rsidRDefault="00213806" w:rsidP="0072256E">
            <w:pPr>
              <w:jc w:val="center"/>
              <w:rPr>
                <w:sz w:val="20"/>
              </w:rPr>
            </w:pPr>
            <w:r>
              <w:rPr>
                <w:sz w:val="20"/>
              </w:rPr>
              <w:t>85</w:t>
            </w:r>
          </w:p>
        </w:tc>
        <w:tc>
          <w:tcPr>
            <w:tcW w:w="993" w:type="dxa"/>
          </w:tcPr>
          <w:p w14:paraId="264CFFB1" w14:textId="77777777" w:rsidR="00213806" w:rsidRPr="00411239" w:rsidRDefault="00213806" w:rsidP="0072256E">
            <w:pPr>
              <w:jc w:val="center"/>
              <w:rPr>
                <w:sz w:val="20"/>
              </w:rPr>
            </w:pPr>
          </w:p>
        </w:tc>
        <w:tc>
          <w:tcPr>
            <w:tcW w:w="992" w:type="dxa"/>
          </w:tcPr>
          <w:p w14:paraId="72F9E637" w14:textId="77777777" w:rsidR="00213806" w:rsidRPr="00411239" w:rsidRDefault="00213806" w:rsidP="0072256E">
            <w:pPr>
              <w:jc w:val="center"/>
              <w:rPr>
                <w:sz w:val="20"/>
              </w:rPr>
            </w:pPr>
          </w:p>
        </w:tc>
        <w:tc>
          <w:tcPr>
            <w:tcW w:w="1417" w:type="dxa"/>
          </w:tcPr>
          <w:p w14:paraId="7801BFAB" w14:textId="77777777" w:rsidR="00213806" w:rsidRPr="00411239" w:rsidRDefault="00213806" w:rsidP="0072256E">
            <w:pPr>
              <w:jc w:val="center"/>
              <w:rPr>
                <w:sz w:val="20"/>
              </w:rPr>
            </w:pPr>
          </w:p>
        </w:tc>
        <w:tc>
          <w:tcPr>
            <w:tcW w:w="1418" w:type="dxa"/>
          </w:tcPr>
          <w:p w14:paraId="7622EE57" w14:textId="77777777" w:rsidR="00213806" w:rsidRPr="00411239" w:rsidRDefault="00213806" w:rsidP="0072256E">
            <w:pPr>
              <w:jc w:val="center"/>
              <w:rPr>
                <w:sz w:val="20"/>
              </w:rPr>
            </w:pPr>
          </w:p>
        </w:tc>
        <w:tc>
          <w:tcPr>
            <w:tcW w:w="1276" w:type="dxa"/>
          </w:tcPr>
          <w:p w14:paraId="351E7D1D" w14:textId="77777777" w:rsidR="00213806" w:rsidRPr="00411239" w:rsidRDefault="00213806" w:rsidP="0072256E">
            <w:pPr>
              <w:jc w:val="center"/>
              <w:rPr>
                <w:sz w:val="20"/>
              </w:rPr>
            </w:pPr>
          </w:p>
        </w:tc>
        <w:tc>
          <w:tcPr>
            <w:tcW w:w="1842" w:type="dxa"/>
          </w:tcPr>
          <w:p w14:paraId="6DB27E99" w14:textId="77777777" w:rsidR="00213806" w:rsidRPr="00411239" w:rsidRDefault="00213806" w:rsidP="0072256E">
            <w:pPr>
              <w:jc w:val="center"/>
              <w:rPr>
                <w:sz w:val="20"/>
              </w:rPr>
            </w:pPr>
          </w:p>
        </w:tc>
      </w:tr>
    </w:tbl>
    <w:p w14:paraId="1DCE4C19" w14:textId="01162466" w:rsidR="00C32B0E" w:rsidRDefault="001E13CB" w:rsidP="001E13CB">
      <w:pPr>
        <w:jc w:val="both"/>
        <w:rPr>
          <w:sz w:val="20"/>
        </w:rPr>
      </w:pPr>
      <w:r w:rsidRPr="001E13CB">
        <w:rPr>
          <w:sz w:val="20"/>
        </w:rPr>
        <w:t>Source : Conseil supérieur des finances, Section Besoin de financement des pouvoirs publics, « Analyse des réalisations budgétaire récentes », Bruxelles, Juillet 2020</w:t>
      </w:r>
      <w:r w:rsidR="008D42C2">
        <w:rPr>
          <w:sz w:val="20"/>
        </w:rPr>
        <w:t xml:space="preserve"> et Statistiques de la Banque nationale de Belgique (</w:t>
      </w:r>
      <w:r w:rsidR="008D42C2" w:rsidRPr="008D42C2">
        <w:rPr>
          <w:sz w:val="20"/>
        </w:rPr>
        <w:t>https://stat.nbb.be/?lang=fr</w:t>
      </w:r>
      <w:r w:rsidR="008D42C2">
        <w:rPr>
          <w:sz w:val="20"/>
        </w:rPr>
        <w:t>).</w:t>
      </w:r>
    </w:p>
    <w:p w14:paraId="4697418B" w14:textId="2A63785A" w:rsidR="00257AF2" w:rsidRDefault="005C79A8" w:rsidP="001E13CB">
      <w:pPr>
        <w:jc w:val="both"/>
        <w:rPr>
          <w:sz w:val="20"/>
        </w:rPr>
      </w:pPr>
      <w:r>
        <w:rPr>
          <w:sz w:val="20"/>
        </w:rPr>
        <w:t>*</w:t>
      </w:r>
      <w:r w:rsidR="00257AF2">
        <w:rPr>
          <w:sz w:val="20"/>
        </w:rPr>
        <w:t>Entité I reprend l’autorité fédérale et la sécurité sociale</w:t>
      </w:r>
    </w:p>
    <w:p w14:paraId="450CDA4E" w14:textId="79FE9EAC" w:rsidR="005C79A8" w:rsidRDefault="005C79A8" w:rsidP="001E13CB">
      <w:pPr>
        <w:jc w:val="both"/>
        <w:rPr>
          <w:sz w:val="20"/>
        </w:rPr>
      </w:pPr>
      <w:r>
        <w:rPr>
          <w:sz w:val="20"/>
        </w:rPr>
        <w:t>**</w:t>
      </w:r>
      <w:r w:rsidRPr="005C79A8">
        <w:t xml:space="preserve"> </w:t>
      </w:r>
      <w:r w:rsidRPr="005C79A8">
        <w:rPr>
          <w:sz w:val="20"/>
        </w:rPr>
        <w:t>Après transferts fiscaux à la Sécurité sociale et l’entité II, autrement dit les recettes à disposition de l’autorité fédérale pour mener ses propres politiques.</w:t>
      </w:r>
    </w:p>
    <w:p w14:paraId="381A2AF7" w14:textId="0296AA85" w:rsidR="005C79A8" w:rsidRDefault="005C79A8" w:rsidP="001E13CB">
      <w:pPr>
        <w:jc w:val="both"/>
        <w:rPr>
          <w:sz w:val="20"/>
        </w:rPr>
      </w:pPr>
      <w:r>
        <w:rPr>
          <w:sz w:val="20"/>
        </w:rPr>
        <w:t>*** Dette brute consolidée</w:t>
      </w:r>
    </w:p>
    <w:p w14:paraId="4A16ABD2" w14:textId="62CA7DF0" w:rsidR="00C32B0E" w:rsidRDefault="00C32B0E" w:rsidP="00FC561F">
      <w:pPr>
        <w:spacing w:after="120" w:line="360" w:lineRule="auto"/>
        <w:jc w:val="both"/>
      </w:pPr>
    </w:p>
    <w:p w14:paraId="669CAB7F" w14:textId="77777777" w:rsidR="00C32B0E" w:rsidRDefault="00C32B0E" w:rsidP="00FC561F">
      <w:pPr>
        <w:spacing w:after="120" w:line="360" w:lineRule="auto"/>
        <w:jc w:val="both"/>
        <w:sectPr w:rsidR="00C32B0E" w:rsidSect="00C32B0E">
          <w:pgSz w:w="16838" w:h="11906" w:orient="landscape"/>
          <w:pgMar w:top="1417" w:right="1417" w:bottom="1417" w:left="1417" w:header="708" w:footer="708" w:gutter="0"/>
          <w:cols w:space="708"/>
          <w:docGrid w:linePitch="360"/>
        </w:sectPr>
      </w:pPr>
    </w:p>
    <w:p w14:paraId="57BB625E" w14:textId="77777777" w:rsidR="00A55CD4" w:rsidRPr="00A414BE" w:rsidRDefault="00A55CD4" w:rsidP="00A72528">
      <w:pPr>
        <w:pStyle w:val="Titre2"/>
        <w:rPr>
          <w:shd w:val="clear" w:color="auto" w:fill="FFFFFF"/>
        </w:rPr>
      </w:pPr>
      <w:bookmarkStart w:id="3" w:name="_Toc96081440"/>
      <w:r w:rsidRPr="00A414BE">
        <w:rPr>
          <w:shd w:val="clear" w:color="auto" w:fill="FFFFFF"/>
        </w:rPr>
        <w:lastRenderedPageBreak/>
        <w:t>La réforme institutionnelle de 1970</w:t>
      </w:r>
      <w:bookmarkEnd w:id="3"/>
    </w:p>
    <w:p w14:paraId="36426231" w14:textId="261970EA" w:rsidR="00C071C2" w:rsidRDefault="00C071C2" w:rsidP="00C071C2">
      <w:pPr>
        <w:spacing w:after="120" w:line="360" w:lineRule="auto"/>
        <w:jc w:val="both"/>
        <w:rPr>
          <w:color w:val="231F20"/>
          <w:szCs w:val="24"/>
          <w:shd w:val="clear" w:color="auto" w:fill="FFFFFF"/>
        </w:rPr>
      </w:pPr>
      <w:r w:rsidRPr="003B090C">
        <w:rPr>
          <w:b/>
          <w:bCs/>
          <w:color w:val="231F20"/>
          <w:szCs w:val="24"/>
          <w:shd w:val="clear" w:color="auto" w:fill="FFFFFF"/>
        </w:rPr>
        <w:t>La réforme de 1970</w:t>
      </w:r>
      <w:r w:rsidRPr="002B4A1B">
        <w:rPr>
          <w:color w:val="231F20"/>
          <w:szCs w:val="24"/>
          <w:shd w:val="clear" w:color="auto" w:fill="FFFFFF"/>
        </w:rPr>
        <w:t xml:space="preserve"> </w:t>
      </w:r>
      <w:r>
        <w:rPr>
          <w:color w:val="231F20"/>
          <w:szCs w:val="24"/>
          <w:shd w:val="clear" w:color="auto" w:fill="FFFFFF"/>
        </w:rPr>
        <w:t>consacre</w:t>
      </w:r>
      <w:r w:rsidRPr="002B4A1B">
        <w:rPr>
          <w:color w:val="231F20"/>
          <w:szCs w:val="24"/>
          <w:shd w:val="clear" w:color="auto" w:fill="FFFFFF"/>
        </w:rPr>
        <w:t xml:space="preserve"> l’autonomie des </w:t>
      </w:r>
      <w:r>
        <w:rPr>
          <w:color w:val="231F20"/>
          <w:szCs w:val="24"/>
          <w:shd w:val="clear" w:color="auto" w:fill="FFFFFF"/>
        </w:rPr>
        <w:t>C</w:t>
      </w:r>
      <w:r w:rsidRPr="002B4A1B">
        <w:rPr>
          <w:color w:val="231F20"/>
          <w:szCs w:val="24"/>
          <w:shd w:val="clear" w:color="auto" w:fill="FFFFFF"/>
        </w:rPr>
        <w:t>ommunautés culturelles</w:t>
      </w:r>
      <w:r>
        <w:rPr>
          <w:color w:val="231F20"/>
          <w:szCs w:val="24"/>
          <w:shd w:val="clear" w:color="auto" w:fill="FFFFFF"/>
        </w:rPr>
        <w:t xml:space="preserve"> et </w:t>
      </w:r>
      <w:r w:rsidR="00C25C66">
        <w:rPr>
          <w:color w:val="231F20"/>
          <w:szCs w:val="24"/>
          <w:shd w:val="clear" w:color="auto" w:fill="FFFFFF"/>
        </w:rPr>
        <w:t xml:space="preserve">la </w:t>
      </w:r>
      <w:r w:rsidR="00E418A4">
        <w:rPr>
          <w:color w:val="231F20"/>
          <w:szCs w:val="24"/>
          <w:shd w:val="clear" w:color="auto" w:fill="FFFFFF"/>
        </w:rPr>
        <w:t xml:space="preserve">décision de principe </w:t>
      </w:r>
      <w:r w:rsidRPr="002B4A1B">
        <w:rPr>
          <w:color w:val="231F20"/>
          <w:szCs w:val="24"/>
          <w:shd w:val="clear" w:color="auto" w:fill="FFFFFF"/>
        </w:rPr>
        <w:t>de</w:t>
      </w:r>
      <w:r w:rsidR="00E418A4">
        <w:rPr>
          <w:color w:val="231F20"/>
          <w:szCs w:val="24"/>
          <w:shd w:val="clear" w:color="auto" w:fill="FFFFFF"/>
        </w:rPr>
        <w:t xml:space="preserve"> mettre en place des</w:t>
      </w:r>
      <w:r w:rsidRPr="002B4A1B">
        <w:rPr>
          <w:color w:val="231F20"/>
          <w:szCs w:val="24"/>
          <w:shd w:val="clear" w:color="auto" w:fill="FFFFFF"/>
        </w:rPr>
        <w:t xml:space="preserve"> </w:t>
      </w:r>
      <w:r>
        <w:rPr>
          <w:color w:val="231F20"/>
          <w:szCs w:val="24"/>
          <w:shd w:val="clear" w:color="auto" w:fill="FFFFFF"/>
        </w:rPr>
        <w:t>R</w:t>
      </w:r>
      <w:r w:rsidRPr="002B4A1B">
        <w:rPr>
          <w:color w:val="231F20"/>
          <w:szCs w:val="24"/>
          <w:shd w:val="clear" w:color="auto" w:fill="FFFFFF"/>
        </w:rPr>
        <w:t xml:space="preserve">égions. </w:t>
      </w:r>
      <w:r>
        <w:rPr>
          <w:color w:val="231F20"/>
          <w:szCs w:val="24"/>
          <w:shd w:val="clear" w:color="auto" w:fill="FFFFFF"/>
        </w:rPr>
        <w:t xml:space="preserve">Elle </w:t>
      </w:r>
      <w:r w:rsidRPr="007A26E6">
        <w:rPr>
          <w:szCs w:val="24"/>
        </w:rPr>
        <w:t>donne naissance</w:t>
      </w:r>
      <w:r>
        <w:rPr>
          <w:szCs w:val="24"/>
        </w:rPr>
        <w:t xml:space="preserve"> (dès 1971)</w:t>
      </w:r>
      <w:r w:rsidRPr="007A26E6">
        <w:rPr>
          <w:szCs w:val="24"/>
        </w:rPr>
        <w:t xml:space="preserve"> aux trois Communautés culturelles (</w:t>
      </w:r>
      <w:r w:rsidRPr="007A26E6">
        <w:rPr>
          <w:color w:val="231F20"/>
          <w:szCs w:val="24"/>
          <w:shd w:val="clear" w:color="auto" w:fill="FFFFFF"/>
        </w:rPr>
        <w:t>française, néerlandaise et allemande)</w:t>
      </w:r>
      <w:r w:rsidRPr="007A26E6">
        <w:rPr>
          <w:szCs w:val="24"/>
        </w:rPr>
        <w:t xml:space="preserve"> dont les compétences sont limitées</w:t>
      </w:r>
      <w:r>
        <w:rPr>
          <w:szCs w:val="24"/>
        </w:rPr>
        <w:t xml:space="preserve"> aux compétences culturelles</w:t>
      </w:r>
      <w:r>
        <w:rPr>
          <w:rStyle w:val="Appelnotedebasdep"/>
          <w:szCs w:val="24"/>
        </w:rPr>
        <w:footnoteReference w:id="11"/>
      </w:r>
      <w:r>
        <w:rPr>
          <w:szCs w:val="24"/>
        </w:rPr>
        <w:t xml:space="preserve"> et certaines compétences d’enseignement</w:t>
      </w:r>
      <w:r>
        <w:rPr>
          <w:rStyle w:val="Appelnotedebasdep"/>
          <w:szCs w:val="24"/>
        </w:rPr>
        <w:footnoteReference w:id="12"/>
      </w:r>
      <w:r>
        <w:t>. Pendant les années 70, il fut impossible de trouver une majorité spéciale pour mettre en œuvre le volet régional. Pour les Régions, la réforme s’est donc limitée à énoncer les noms et le principe d’élection en renvoyant à une loi à voter à la majorité spéciale définissant les compétences, la composition et l’étendue des pouvoirs des organes à créer (ARCQ, 1993)</w:t>
      </w:r>
      <w:r w:rsidRPr="007A26E6">
        <w:rPr>
          <w:szCs w:val="24"/>
        </w:rPr>
        <w:t xml:space="preserve">. </w:t>
      </w:r>
      <w:r>
        <w:rPr>
          <w:szCs w:val="24"/>
        </w:rPr>
        <w:t>Une régionalisation provisoire sera mise en place par la loi du 1</w:t>
      </w:r>
      <w:r w:rsidRPr="006379F4">
        <w:rPr>
          <w:szCs w:val="24"/>
          <w:vertAlign w:val="superscript"/>
        </w:rPr>
        <w:t>er</w:t>
      </w:r>
      <w:r>
        <w:rPr>
          <w:szCs w:val="24"/>
        </w:rPr>
        <w:t xml:space="preserve"> août 1974</w:t>
      </w:r>
      <w:r>
        <w:rPr>
          <w:rStyle w:val="Appelnotedebasdep"/>
          <w:szCs w:val="24"/>
        </w:rPr>
        <w:footnoteReference w:id="13"/>
      </w:r>
      <w:r>
        <w:rPr>
          <w:szCs w:val="24"/>
        </w:rPr>
        <w:t xml:space="preserve"> et attribuera certaines compétences aux Régions (aménagement du territoire, urbanisme, expansion économique régionale et emploi, logement, politique familiale et démographique, politique d’hygiène et de santé publique, politique d’accueil, politique de l’eau, chasse, pêche et forets, politique industrielle et énergétique et organisation communale). </w:t>
      </w:r>
      <w:r>
        <w:t xml:space="preserve">Contrairement aux Communautés culturelles, les conseils régionaux (composés de ministres du gouvernement national) n’ont qu’une compétence consultative et c’est le parlement national qui vote les « lois régionales » et l’affectation des moyens régionaux. </w:t>
      </w:r>
      <w:r w:rsidRPr="00F4657E">
        <w:rPr>
          <w:color w:val="231F20"/>
          <w:szCs w:val="24"/>
          <w:shd w:val="clear" w:color="auto" w:fill="FFFFFF"/>
        </w:rPr>
        <w:t xml:space="preserve">En 1970, </w:t>
      </w:r>
      <w:r>
        <w:rPr>
          <w:color w:val="231F20"/>
          <w:szCs w:val="24"/>
          <w:shd w:val="clear" w:color="auto" w:fill="FFFFFF"/>
        </w:rPr>
        <w:t>l</w:t>
      </w:r>
      <w:r w:rsidRPr="00F4657E">
        <w:rPr>
          <w:color w:val="231F20"/>
          <w:szCs w:val="24"/>
          <w:shd w:val="clear" w:color="auto" w:fill="FFFFFF"/>
        </w:rPr>
        <w:t>e fait que les compétences communautaires soient partagées à Bruxelles entre l</w:t>
      </w:r>
      <w:r>
        <w:rPr>
          <w:color w:val="231F20"/>
          <w:szCs w:val="24"/>
          <w:shd w:val="clear" w:color="auto" w:fill="FFFFFF"/>
        </w:rPr>
        <w:t>es</w:t>
      </w:r>
      <w:r w:rsidRPr="00F4657E">
        <w:rPr>
          <w:color w:val="231F20"/>
          <w:szCs w:val="24"/>
          <w:shd w:val="clear" w:color="auto" w:fill="FFFFFF"/>
        </w:rPr>
        <w:t xml:space="preserve"> Communauté</w:t>
      </w:r>
      <w:r>
        <w:rPr>
          <w:color w:val="231F20"/>
          <w:szCs w:val="24"/>
          <w:shd w:val="clear" w:color="auto" w:fill="FFFFFF"/>
        </w:rPr>
        <w:t>s</w:t>
      </w:r>
      <w:r w:rsidRPr="00F4657E">
        <w:rPr>
          <w:color w:val="231F20"/>
          <w:szCs w:val="24"/>
          <w:shd w:val="clear" w:color="auto" w:fill="FFFFFF"/>
        </w:rPr>
        <w:t xml:space="preserve"> </w:t>
      </w:r>
      <w:r>
        <w:rPr>
          <w:color w:val="231F20"/>
          <w:szCs w:val="24"/>
          <w:shd w:val="clear" w:color="auto" w:fill="FFFFFF"/>
        </w:rPr>
        <w:t>culturelles (</w:t>
      </w:r>
      <w:r w:rsidRPr="00F4657E">
        <w:rPr>
          <w:color w:val="231F20"/>
          <w:szCs w:val="24"/>
          <w:shd w:val="clear" w:color="auto" w:fill="FFFFFF"/>
        </w:rPr>
        <w:t>flamande</w:t>
      </w:r>
      <w:r>
        <w:rPr>
          <w:color w:val="231F20"/>
          <w:szCs w:val="24"/>
          <w:shd w:val="clear" w:color="auto" w:fill="FFFFFF"/>
        </w:rPr>
        <w:t xml:space="preserve"> et française)</w:t>
      </w:r>
      <w:r w:rsidRPr="00F4657E">
        <w:rPr>
          <w:color w:val="231F20"/>
          <w:szCs w:val="24"/>
          <w:shd w:val="clear" w:color="auto" w:fill="FFFFFF"/>
        </w:rPr>
        <w:t xml:space="preserve"> et le pouvoir national n’a pas empêché l’apparition d’institutions propres à la région bruxelloise</w:t>
      </w:r>
      <w:r>
        <w:rPr>
          <w:color w:val="231F20"/>
          <w:szCs w:val="24"/>
          <w:shd w:val="clear" w:color="auto" w:fill="FFFFFF"/>
        </w:rPr>
        <w:t xml:space="preserve"> </w:t>
      </w:r>
      <w:r w:rsidRPr="00F4657E">
        <w:rPr>
          <w:color w:val="231F20"/>
          <w:szCs w:val="24"/>
          <w:shd w:val="clear" w:color="auto" w:fill="FFFFFF"/>
        </w:rPr>
        <w:t>: les commissions de la culture</w:t>
      </w:r>
      <w:r>
        <w:rPr>
          <w:color w:val="231F20"/>
          <w:szCs w:val="24"/>
          <w:shd w:val="clear" w:color="auto" w:fill="FFFFFF"/>
        </w:rPr>
        <w:t xml:space="preserve"> </w:t>
      </w:r>
      <w:r>
        <w:rPr>
          <w:szCs w:val="24"/>
        </w:rPr>
        <w:t>(une française et une néerlandaise)</w:t>
      </w:r>
      <w:r w:rsidRPr="00F4657E">
        <w:rPr>
          <w:color w:val="231F20"/>
          <w:szCs w:val="24"/>
          <w:shd w:val="clear" w:color="auto" w:fill="FFFFFF"/>
        </w:rPr>
        <w:t xml:space="preserve"> dépendant de l’</w:t>
      </w:r>
      <w:r>
        <w:rPr>
          <w:color w:val="231F20"/>
          <w:szCs w:val="24"/>
          <w:shd w:val="clear" w:color="auto" w:fill="FFFFFF"/>
        </w:rPr>
        <w:t>A</w:t>
      </w:r>
      <w:r w:rsidRPr="00F4657E">
        <w:rPr>
          <w:color w:val="231F20"/>
          <w:szCs w:val="24"/>
          <w:shd w:val="clear" w:color="auto" w:fill="FFFFFF"/>
        </w:rPr>
        <w:t>gglomération bruxelloise</w:t>
      </w:r>
      <w:r>
        <w:rPr>
          <w:rStyle w:val="Appelnotedebasdep"/>
          <w:color w:val="231F20"/>
          <w:szCs w:val="24"/>
          <w:shd w:val="clear" w:color="auto" w:fill="FFFFFF"/>
        </w:rPr>
        <w:footnoteReference w:id="14"/>
      </w:r>
      <w:r w:rsidRPr="00F4657E">
        <w:rPr>
          <w:color w:val="231F20"/>
          <w:szCs w:val="24"/>
          <w:shd w:val="clear" w:color="auto" w:fill="FFFFFF"/>
        </w:rPr>
        <w:t>. Ces commissions</w:t>
      </w:r>
      <w:r>
        <w:rPr>
          <w:color w:val="231F20"/>
          <w:szCs w:val="24"/>
          <w:shd w:val="clear" w:color="auto" w:fill="FFFFFF"/>
        </w:rPr>
        <w:t xml:space="preserve">, </w:t>
      </w:r>
      <w:r w:rsidRPr="007A26E6">
        <w:rPr>
          <w:szCs w:val="24"/>
        </w:rPr>
        <w:t xml:space="preserve">mises en place en 1972, </w:t>
      </w:r>
      <w:r>
        <w:rPr>
          <w:szCs w:val="24"/>
        </w:rPr>
        <w:t>étaient</w:t>
      </w:r>
      <w:r w:rsidRPr="007A26E6">
        <w:rPr>
          <w:szCs w:val="24"/>
        </w:rPr>
        <w:t xml:space="preserve">, </w:t>
      </w:r>
      <w:r w:rsidRPr="007A26E6">
        <w:rPr>
          <w:szCs w:val="24"/>
        </w:rPr>
        <w:lastRenderedPageBreak/>
        <w:t>sous la tutelle de leur communauté linguistique</w:t>
      </w:r>
      <w:r>
        <w:rPr>
          <w:szCs w:val="24"/>
        </w:rPr>
        <w:t xml:space="preserve"> et</w:t>
      </w:r>
      <w:r w:rsidRPr="00F4657E">
        <w:rPr>
          <w:color w:val="231F20"/>
          <w:szCs w:val="24"/>
          <w:shd w:val="clear" w:color="auto" w:fill="FFFFFF"/>
        </w:rPr>
        <w:t xml:space="preserve"> disposaient des mêmes compétences que les autres pouvoirs organisateurs en matière préscolaire, postscolaire, culturelle et d’enseignement</w:t>
      </w:r>
      <w:r>
        <w:rPr>
          <w:rStyle w:val="Appelnotedebasdep"/>
          <w:color w:val="231F20"/>
          <w:szCs w:val="24"/>
          <w:shd w:val="clear" w:color="auto" w:fill="FFFFFF"/>
        </w:rPr>
        <w:footnoteReference w:id="15"/>
      </w:r>
      <w:r w:rsidRPr="00F4657E">
        <w:rPr>
          <w:rStyle w:val="Appelnotedebasdep"/>
          <w:color w:val="231F20"/>
          <w:szCs w:val="24"/>
          <w:shd w:val="clear" w:color="auto" w:fill="FFFFFF"/>
        </w:rPr>
        <w:footnoteReference w:id="16"/>
      </w:r>
      <w:r>
        <w:rPr>
          <w:color w:val="231F20"/>
          <w:szCs w:val="24"/>
          <w:shd w:val="clear" w:color="auto" w:fill="FFFFFF"/>
        </w:rPr>
        <w:t xml:space="preserve">. </w:t>
      </w:r>
    </w:p>
    <w:p w14:paraId="7A6D2705" w14:textId="5F48F7CE" w:rsidR="00243DB5" w:rsidRDefault="00243DB5" w:rsidP="006E2AD8">
      <w:pPr>
        <w:pStyle w:val="Corpsdetexte2"/>
        <w:spacing w:after="120" w:line="360" w:lineRule="auto"/>
      </w:pPr>
      <w:r>
        <w:t>De 1972 à 1981, l’attribution des moyens aux Communautés se faisait de manière pragmatique en déterminant dans les budgets nationaux les parties de crédits transférées aux Conseils culturels</w:t>
      </w:r>
      <w:r w:rsidR="00697EC9">
        <w:t xml:space="preserve">. </w:t>
      </w:r>
      <w:r w:rsidRPr="00243DB5">
        <w:rPr>
          <w:bCs/>
        </w:rPr>
        <w:t xml:space="preserve">Le gouvernement déposait au Parlement, en marge des projets des budgets traditionnels, un projet de loi contenant le budget des </w:t>
      </w:r>
      <w:r w:rsidR="00D27C92">
        <w:rPr>
          <w:bCs/>
        </w:rPr>
        <w:t>« </w:t>
      </w:r>
      <w:r w:rsidRPr="00243DB5">
        <w:rPr>
          <w:bCs/>
        </w:rPr>
        <w:t>Dotations culturelles</w:t>
      </w:r>
      <w:r w:rsidR="00D27C92">
        <w:rPr>
          <w:bCs/>
        </w:rPr>
        <w:t> »</w:t>
      </w:r>
      <w:r w:rsidRPr="00243DB5">
        <w:rPr>
          <w:bCs/>
        </w:rPr>
        <w:t xml:space="preserve"> qui regroupait les crédits correspondants aux matières communautaires sous la forme de dotations pour les Conseils culturels francophone et flamand. L’Exécutif de chaque C</w:t>
      </w:r>
      <w:r w:rsidR="0075674E">
        <w:rPr>
          <w:bCs/>
        </w:rPr>
        <w:t>ommunauté</w:t>
      </w:r>
      <w:r w:rsidRPr="00243DB5">
        <w:rPr>
          <w:bCs/>
        </w:rPr>
        <w:t xml:space="preserve"> déposait, devant son assemblée, un projet de décret global affectant, par secteur, la dotation concernée. Un tel système dans lequel le Parlement national accordait le montant global des crédits nécessaires tandis que chaque Communauté décidait ensuite de leur affectation selon la politique qu’elle voulait réaliser, tendait à respecter à la fois l’autonomie des Communautés tout en les empêchant de dépasser la part des ressources nationales que le Parlement entendait </w:t>
      </w:r>
      <w:r w:rsidR="00BE14F3">
        <w:rPr>
          <w:bCs/>
        </w:rPr>
        <w:t xml:space="preserve">leur </w:t>
      </w:r>
      <w:r w:rsidRPr="00243DB5">
        <w:rPr>
          <w:bCs/>
        </w:rPr>
        <w:t>consacrer</w:t>
      </w:r>
      <w:r w:rsidRPr="00243DB5">
        <w:rPr>
          <w:rStyle w:val="Appelnotedebasdep"/>
          <w:bCs/>
        </w:rPr>
        <w:footnoteReference w:id="17"/>
      </w:r>
      <w:r w:rsidRPr="00243DB5">
        <w:rPr>
          <w:bCs/>
        </w:rPr>
        <w:t>.</w:t>
      </w:r>
      <w:r>
        <w:rPr>
          <w:b/>
        </w:rPr>
        <w:t xml:space="preserve"> </w:t>
      </w:r>
      <w:r>
        <w:t xml:space="preserve">Le gouvernement a procédé de la même manière en 1974 </w:t>
      </w:r>
      <w:r w:rsidR="00BE14F3">
        <w:t>pour</w:t>
      </w:r>
      <w:r>
        <w:t xml:space="preserve"> les moyens transférés aux Régions. Il réservait chaque année dans </w:t>
      </w:r>
      <w:r w:rsidR="00BE14F3">
        <w:t>son</w:t>
      </w:r>
      <w:r>
        <w:t xml:space="preserve"> budget</w:t>
      </w:r>
      <w:r w:rsidR="00BE14F3">
        <w:t xml:space="preserve"> </w:t>
      </w:r>
      <w:r>
        <w:t xml:space="preserve">une somme globale pour couvrir les dépenses de la politique régionale. L’État ne soustrayait pas vraiment de son budget une dotation qu’il transférait aux Régions. La somme globale régionale faisait partie du budget général de l’État qui comprenait seulement un volet régional. Dans un tel système, les Régions, dépourvues de personnalité juridique propre, restaient </w:t>
      </w:r>
      <w:r w:rsidR="00C25C66">
        <w:t xml:space="preserve">dans le giron de </w:t>
      </w:r>
      <w:r>
        <w:t>l’État</w:t>
      </w:r>
      <w:r w:rsidR="00BE14F3">
        <w:t xml:space="preserve"> national</w:t>
      </w:r>
      <w:r>
        <w:t xml:space="preserve"> et la politique régionale était menée par l’État au nom des Régions par l’intermédiaire des Comités ministériels régionaux</w:t>
      </w:r>
      <w:r>
        <w:rPr>
          <w:rStyle w:val="Appelnotedebasdep"/>
        </w:rPr>
        <w:footnoteReference w:id="18"/>
      </w:r>
      <w:r>
        <w:t xml:space="preserve">. Les Régions et les Communautés ne disposaient </w:t>
      </w:r>
      <w:r w:rsidR="0075674E">
        <w:t xml:space="preserve">donc </w:t>
      </w:r>
      <w:r>
        <w:t>d’aucune ressource propre puisqu’elles ne pouvaient utiliser que les enveloppes budgétaires mises à leur disposition par le pouvoir central.</w:t>
      </w:r>
    </w:p>
    <w:p w14:paraId="42907875" w14:textId="7A0730CE" w:rsidR="00697EC9" w:rsidRDefault="00697EC9" w:rsidP="006E2AD8">
      <w:pPr>
        <w:pStyle w:val="Corpsdetexte2"/>
        <w:spacing w:after="120" w:line="360" w:lineRule="auto"/>
        <w:rPr>
          <w:color w:val="323232"/>
          <w:szCs w:val="24"/>
        </w:rPr>
      </w:pPr>
      <w:r>
        <w:t>La Communauté culturelle allemande n’a été mise en place que par la loi du 10 juillet 1973</w:t>
      </w:r>
      <w:r>
        <w:rPr>
          <w:rStyle w:val="Appelnotedebasdep"/>
          <w:szCs w:val="24"/>
        </w:rPr>
        <w:footnoteReference w:id="19"/>
      </w:r>
      <w:r>
        <w:t xml:space="preserve"> Cette loi </w:t>
      </w:r>
      <w:r>
        <w:rPr>
          <w:color w:val="323232"/>
          <w:spacing w:val="0"/>
          <w:szCs w:val="24"/>
          <w:lang w:eastAsia="fr-BE"/>
        </w:rPr>
        <w:t xml:space="preserve">définissait </w:t>
      </w:r>
      <w:r>
        <w:rPr>
          <w:color w:val="323232"/>
          <w:szCs w:val="24"/>
        </w:rPr>
        <w:t>l</w:t>
      </w:r>
      <w:r w:rsidRPr="00052826">
        <w:rPr>
          <w:color w:val="323232"/>
          <w:szCs w:val="24"/>
        </w:rPr>
        <w:t xml:space="preserve">a composition, </w:t>
      </w:r>
      <w:r>
        <w:rPr>
          <w:color w:val="323232"/>
          <w:szCs w:val="24"/>
        </w:rPr>
        <w:t>l</w:t>
      </w:r>
      <w:r w:rsidRPr="00052826">
        <w:rPr>
          <w:color w:val="323232"/>
          <w:szCs w:val="24"/>
        </w:rPr>
        <w:t xml:space="preserve">es compétences et </w:t>
      </w:r>
      <w:r>
        <w:rPr>
          <w:color w:val="323232"/>
          <w:szCs w:val="24"/>
        </w:rPr>
        <w:t>l</w:t>
      </w:r>
      <w:r w:rsidRPr="00052826">
        <w:rPr>
          <w:color w:val="323232"/>
          <w:szCs w:val="24"/>
        </w:rPr>
        <w:t xml:space="preserve">es pouvoirs </w:t>
      </w:r>
      <w:r>
        <w:rPr>
          <w:color w:val="323232"/>
          <w:szCs w:val="24"/>
        </w:rPr>
        <w:t>du</w:t>
      </w:r>
      <w:r w:rsidRPr="00052826">
        <w:rPr>
          <w:color w:val="323232"/>
          <w:szCs w:val="24"/>
        </w:rPr>
        <w:t xml:space="preserve"> </w:t>
      </w:r>
      <w:r>
        <w:rPr>
          <w:color w:val="323232"/>
          <w:szCs w:val="24"/>
        </w:rPr>
        <w:t>C</w:t>
      </w:r>
      <w:r w:rsidRPr="00052826">
        <w:rPr>
          <w:color w:val="323232"/>
          <w:szCs w:val="24"/>
        </w:rPr>
        <w:t>onseil</w:t>
      </w:r>
      <w:r>
        <w:rPr>
          <w:color w:val="323232"/>
          <w:szCs w:val="24"/>
        </w:rPr>
        <w:t xml:space="preserve"> </w:t>
      </w:r>
      <w:r w:rsidRPr="00052826">
        <w:rPr>
          <w:color w:val="323232"/>
          <w:szCs w:val="24"/>
        </w:rPr>
        <w:t xml:space="preserve">composé de mandataires </w:t>
      </w:r>
      <w:r w:rsidRPr="00052826">
        <w:rPr>
          <w:color w:val="323232"/>
          <w:szCs w:val="24"/>
        </w:rPr>
        <w:lastRenderedPageBreak/>
        <w:t>élus</w:t>
      </w:r>
      <w:r>
        <w:rPr>
          <w:rStyle w:val="Appelnotedebasdep"/>
        </w:rPr>
        <w:footnoteReference w:id="20"/>
      </w:r>
      <w:r>
        <w:rPr>
          <w:color w:val="323232"/>
          <w:szCs w:val="24"/>
        </w:rPr>
        <w:t xml:space="preserve">. Elle se </w:t>
      </w:r>
      <w:r w:rsidRPr="00052826">
        <w:rPr>
          <w:color w:val="323232"/>
          <w:szCs w:val="24"/>
        </w:rPr>
        <w:t>voit confier un pouvoir consultatif sur les matières culturelles et l’enseignement</w:t>
      </w:r>
      <w:r>
        <w:rPr>
          <w:color w:val="323232"/>
          <w:szCs w:val="24"/>
        </w:rPr>
        <w:t xml:space="preserve"> même si </w:t>
      </w:r>
      <w:r w:rsidRPr="00052826">
        <w:rPr>
          <w:color w:val="323232"/>
          <w:szCs w:val="24"/>
        </w:rPr>
        <w:t>la plus grande partie des compétences en matière d’enseignement (</w:t>
      </w:r>
      <w:r>
        <w:rPr>
          <w:color w:val="323232"/>
          <w:szCs w:val="24"/>
        </w:rPr>
        <w:t>s</w:t>
      </w:r>
      <w:r w:rsidRPr="00052826">
        <w:rPr>
          <w:color w:val="323232"/>
          <w:szCs w:val="24"/>
        </w:rPr>
        <w:t xml:space="preserve">tructures de l’enseignement, </w:t>
      </w:r>
      <w:r w:rsidR="00EB787C">
        <w:rPr>
          <w:color w:val="323232"/>
          <w:szCs w:val="24"/>
        </w:rPr>
        <w:t>n</w:t>
      </w:r>
      <w:r w:rsidRPr="00052826">
        <w:rPr>
          <w:color w:val="323232"/>
          <w:szCs w:val="24"/>
        </w:rPr>
        <w:t>ormes de la population scolaire</w:t>
      </w:r>
      <w:r>
        <w:rPr>
          <w:color w:val="323232"/>
          <w:szCs w:val="24"/>
        </w:rPr>
        <w:t>,</w:t>
      </w:r>
      <w:r w:rsidRPr="00052826">
        <w:rPr>
          <w:color w:val="323232"/>
          <w:szCs w:val="24"/>
        </w:rPr>
        <w:t xml:space="preserve"> traitements</w:t>
      </w:r>
      <w:r>
        <w:rPr>
          <w:color w:val="323232"/>
          <w:szCs w:val="24"/>
        </w:rPr>
        <w:t>, etc.</w:t>
      </w:r>
      <w:r w:rsidRPr="00052826">
        <w:rPr>
          <w:color w:val="323232"/>
          <w:szCs w:val="24"/>
        </w:rPr>
        <w:t>) reste de la compétence de l’État national. Ce pouvoir consultatif s’étend encore à la coopération entre communautés culturelles</w:t>
      </w:r>
      <w:r>
        <w:rPr>
          <w:color w:val="323232"/>
          <w:szCs w:val="24"/>
        </w:rPr>
        <w:t xml:space="preserve">. Elle dispose également d’un </w:t>
      </w:r>
      <w:r w:rsidRPr="00052826">
        <w:rPr>
          <w:color w:val="323232"/>
          <w:szCs w:val="24"/>
        </w:rPr>
        <w:t>pouvoir réglementaire concernant le financement des activités culturelles.</w:t>
      </w:r>
      <w:r>
        <w:rPr>
          <w:color w:val="323232"/>
          <w:szCs w:val="24"/>
        </w:rPr>
        <w:t xml:space="preserve"> </w:t>
      </w:r>
      <w:r w:rsidRPr="00052826">
        <w:rPr>
          <w:color w:val="323232"/>
          <w:szCs w:val="24"/>
        </w:rPr>
        <w:t xml:space="preserve">Le pouvoir exécutif de la Communauté culturelle allemande est </w:t>
      </w:r>
      <w:r>
        <w:rPr>
          <w:color w:val="323232"/>
          <w:szCs w:val="24"/>
        </w:rPr>
        <w:t xml:space="preserve">cependant </w:t>
      </w:r>
      <w:r w:rsidRPr="00052826">
        <w:rPr>
          <w:color w:val="323232"/>
          <w:szCs w:val="24"/>
        </w:rPr>
        <w:t>exercé par un ou plusieurs ministres au sein du gouvernement national. Le Conseil bénéficie d’un crédit global pour couvrir ses frais de fonctionnement et d’une dotation inscrite au budget des dotations culturelles de l’État</w:t>
      </w:r>
      <w:r>
        <w:rPr>
          <w:rStyle w:val="Appelnotedebasdep"/>
          <w:color w:val="323232"/>
          <w:szCs w:val="24"/>
        </w:rPr>
        <w:footnoteReference w:id="21"/>
      </w:r>
      <w:r w:rsidRPr="00052826">
        <w:rPr>
          <w:color w:val="323232"/>
          <w:szCs w:val="24"/>
        </w:rPr>
        <w:t>.</w:t>
      </w:r>
    </w:p>
    <w:p w14:paraId="2C0D0D8F" w14:textId="6A18913C" w:rsidR="00A55CD4" w:rsidRPr="00A414BE" w:rsidRDefault="00A55CD4" w:rsidP="00A72528">
      <w:pPr>
        <w:pStyle w:val="Titre2"/>
        <w:rPr>
          <w:shd w:val="clear" w:color="auto" w:fill="FFFFFF"/>
        </w:rPr>
      </w:pPr>
      <w:bookmarkStart w:id="6" w:name="_Toc96081441"/>
      <w:r w:rsidRPr="00A414BE">
        <w:rPr>
          <w:shd w:val="clear" w:color="auto" w:fill="FFFFFF"/>
        </w:rPr>
        <w:t>La réforme institutionnelle de 19</w:t>
      </w:r>
      <w:r>
        <w:rPr>
          <w:shd w:val="clear" w:color="auto" w:fill="FFFFFF"/>
        </w:rPr>
        <w:t>80</w:t>
      </w:r>
      <w:bookmarkEnd w:id="6"/>
    </w:p>
    <w:p w14:paraId="34AC15DC" w14:textId="360B1B1B" w:rsidR="00025315" w:rsidRPr="00453DB8" w:rsidRDefault="00504E8D" w:rsidP="00025315">
      <w:pPr>
        <w:spacing w:after="120" w:line="360" w:lineRule="auto"/>
        <w:jc w:val="both"/>
        <w:rPr>
          <w:szCs w:val="24"/>
        </w:rPr>
      </w:pPr>
      <w:r w:rsidRPr="003B090C">
        <w:rPr>
          <w:b/>
          <w:bCs/>
          <w:szCs w:val="24"/>
        </w:rPr>
        <w:t>L</w:t>
      </w:r>
      <w:r w:rsidR="00E037F0" w:rsidRPr="003B090C">
        <w:rPr>
          <w:b/>
          <w:bCs/>
          <w:szCs w:val="24"/>
        </w:rPr>
        <w:t>ors de la réforme institutionnelle de 1980</w:t>
      </w:r>
      <w:r w:rsidR="00025608" w:rsidRPr="00D94C03">
        <w:rPr>
          <w:rStyle w:val="Appelnotedebasdep"/>
          <w:szCs w:val="24"/>
        </w:rPr>
        <w:footnoteReference w:id="22"/>
      </w:r>
      <w:r w:rsidR="00E037F0" w:rsidRPr="00504E8D">
        <w:rPr>
          <w:szCs w:val="24"/>
        </w:rPr>
        <w:t xml:space="preserve">, les Communautés </w:t>
      </w:r>
      <w:r w:rsidR="0011364B">
        <w:rPr>
          <w:szCs w:val="24"/>
        </w:rPr>
        <w:t xml:space="preserve">perdent leur adjectif </w:t>
      </w:r>
      <w:r w:rsidR="00B64A78">
        <w:rPr>
          <w:szCs w:val="24"/>
        </w:rPr>
        <w:t>« </w:t>
      </w:r>
      <w:r w:rsidR="0011364B">
        <w:rPr>
          <w:szCs w:val="24"/>
        </w:rPr>
        <w:t>culturel</w:t>
      </w:r>
      <w:r w:rsidR="00B64A78">
        <w:rPr>
          <w:szCs w:val="24"/>
        </w:rPr>
        <w:t xml:space="preserve"> » et </w:t>
      </w:r>
      <w:r w:rsidR="008E01F6" w:rsidRPr="00760F4C">
        <w:rPr>
          <w:szCs w:val="24"/>
        </w:rPr>
        <w:t>sont dotées d’un Conseil (parlement) et d’un exécutif (gouvernement)</w:t>
      </w:r>
      <w:r w:rsidR="008E01F6">
        <w:rPr>
          <w:rStyle w:val="Appelnotedebasdep"/>
          <w:szCs w:val="24"/>
        </w:rPr>
        <w:footnoteReference w:id="23"/>
      </w:r>
      <w:r w:rsidR="008E01F6" w:rsidRPr="00760F4C">
        <w:rPr>
          <w:szCs w:val="24"/>
        </w:rPr>
        <w:t>.</w:t>
      </w:r>
      <w:r w:rsidR="008E01F6">
        <w:rPr>
          <w:szCs w:val="24"/>
        </w:rPr>
        <w:t xml:space="preserve"> L</w:t>
      </w:r>
      <w:r w:rsidR="00025315">
        <w:rPr>
          <w:szCs w:val="24"/>
        </w:rPr>
        <w:t xml:space="preserve">eurs compétences </w:t>
      </w:r>
      <w:r w:rsidR="008E01F6">
        <w:rPr>
          <w:szCs w:val="24"/>
        </w:rPr>
        <w:t xml:space="preserve">sont </w:t>
      </w:r>
      <w:r w:rsidR="00025315">
        <w:rPr>
          <w:szCs w:val="24"/>
        </w:rPr>
        <w:t xml:space="preserve">étendues aux </w:t>
      </w:r>
      <w:r w:rsidR="00B64A78">
        <w:rPr>
          <w:szCs w:val="24"/>
        </w:rPr>
        <w:t>« </w:t>
      </w:r>
      <w:r w:rsidR="00E037F0" w:rsidRPr="00504E8D">
        <w:rPr>
          <w:szCs w:val="24"/>
        </w:rPr>
        <w:t xml:space="preserve">matières </w:t>
      </w:r>
      <w:r w:rsidRPr="00504E8D">
        <w:rPr>
          <w:color w:val="231F20"/>
          <w:szCs w:val="24"/>
          <w:shd w:val="clear" w:color="auto" w:fill="FFFFFF"/>
        </w:rPr>
        <w:t>personnalisables</w:t>
      </w:r>
      <w:r w:rsidR="00B64A78">
        <w:rPr>
          <w:color w:val="231F20"/>
          <w:szCs w:val="24"/>
          <w:shd w:val="clear" w:color="auto" w:fill="FFFFFF"/>
        </w:rPr>
        <w:t> »</w:t>
      </w:r>
      <w:r w:rsidRPr="00504E8D">
        <w:rPr>
          <w:color w:val="231F20"/>
          <w:szCs w:val="24"/>
          <w:shd w:val="clear" w:color="auto" w:fill="FFFFFF"/>
        </w:rPr>
        <w:t>, c'est-à-dire celles qui, par leur nature, sont liées à la vie des personnes et à leurs relations avec certains services publics (la politique de la santé</w:t>
      </w:r>
      <w:r w:rsidR="001A1730">
        <w:rPr>
          <w:rStyle w:val="Appelnotedebasdep"/>
          <w:color w:val="231F20"/>
          <w:szCs w:val="24"/>
          <w:shd w:val="clear" w:color="auto" w:fill="FFFFFF"/>
        </w:rPr>
        <w:footnoteReference w:id="24"/>
      </w:r>
      <w:r w:rsidRPr="00504E8D">
        <w:rPr>
          <w:color w:val="231F20"/>
          <w:szCs w:val="24"/>
          <w:shd w:val="clear" w:color="auto" w:fill="FFFFFF"/>
        </w:rPr>
        <w:t xml:space="preserve"> et l'aide aux personnes</w:t>
      </w:r>
      <w:r w:rsidR="00025608">
        <w:rPr>
          <w:rStyle w:val="Appelnotedebasdep"/>
          <w:color w:val="231F20"/>
          <w:szCs w:val="24"/>
          <w:shd w:val="clear" w:color="auto" w:fill="FFFFFF"/>
        </w:rPr>
        <w:footnoteReference w:id="25"/>
      </w:r>
      <w:r w:rsidRPr="00504E8D">
        <w:rPr>
          <w:color w:val="231F20"/>
          <w:szCs w:val="24"/>
          <w:shd w:val="clear" w:color="auto" w:fill="FFFFFF"/>
        </w:rPr>
        <w:t xml:space="preserve">). </w:t>
      </w:r>
      <w:r w:rsidR="008E01F6">
        <w:rPr>
          <w:color w:val="231F20"/>
          <w:szCs w:val="24"/>
          <w:shd w:val="clear" w:color="auto" w:fill="FFFFFF"/>
        </w:rPr>
        <w:t>La</w:t>
      </w:r>
      <w:r w:rsidR="00025315">
        <w:t xml:space="preserve"> loi créant des institutions communautaires et régionales provisoires coordonnée le 20 juillet 1979</w:t>
      </w:r>
      <w:r w:rsidR="00025315" w:rsidRPr="00DB351E">
        <w:rPr>
          <w:rStyle w:val="Appelnotedebasdep"/>
        </w:rPr>
        <w:footnoteReference w:id="26"/>
      </w:r>
      <w:r w:rsidR="00025315">
        <w:t xml:space="preserve"> avait déjà redistribué les compétences prévues dans la loi de 1974. Les Communautés </w:t>
      </w:r>
      <w:r w:rsidR="00BE14F3">
        <w:t>s’étaient ainsi vues attribuer</w:t>
      </w:r>
      <w:r w:rsidR="00025315">
        <w:t xml:space="preserve"> les matières personnalisables initialement </w:t>
      </w:r>
      <w:r w:rsidR="00BE14F3">
        <w:t xml:space="preserve">transférées </w:t>
      </w:r>
      <w:r w:rsidR="00025315">
        <w:t>aux Régions. Cette nouvelle répartition des compétences répondait à une revendication flamande de renforcer sa présence à Bruxelles</w:t>
      </w:r>
      <w:r w:rsidR="001A1730">
        <w:rPr>
          <w:rStyle w:val="Appelnotedebasdep"/>
        </w:rPr>
        <w:footnoteReference w:id="27"/>
      </w:r>
      <w:r w:rsidR="00025315">
        <w:t>.</w:t>
      </w:r>
      <w:r w:rsidR="00DB351E">
        <w:t xml:space="preserve"> </w:t>
      </w:r>
      <w:r w:rsidR="00B64A78">
        <w:t>Mais ces compétences</w:t>
      </w:r>
      <w:r w:rsidR="00025315">
        <w:rPr>
          <w:szCs w:val="24"/>
        </w:rPr>
        <w:t xml:space="preserve"> n’ont pas été immédiatement exercées par les Communautés </w:t>
      </w:r>
      <w:r w:rsidR="00B64A78">
        <w:rPr>
          <w:szCs w:val="24"/>
        </w:rPr>
        <w:t xml:space="preserve">sur le territoire </w:t>
      </w:r>
      <w:r w:rsidR="0001092D">
        <w:rPr>
          <w:szCs w:val="24"/>
        </w:rPr>
        <w:t>bruxellois c</w:t>
      </w:r>
      <w:r w:rsidR="00025315">
        <w:rPr>
          <w:szCs w:val="24"/>
        </w:rPr>
        <w:t xml:space="preserve">ar, pour un certain </w:t>
      </w:r>
      <w:r w:rsidR="00025315">
        <w:rPr>
          <w:szCs w:val="24"/>
        </w:rPr>
        <w:lastRenderedPageBreak/>
        <w:t>nombre d’institutions, l’absence de critères d’appartenance exclusive à une communauté</w:t>
      </w:r>
      <w:r w:rsidR="00B64A78">
        <w:rPr>
          <w:szCs w:val="24"/>
        </w:rPr>
        <w:t xml:space="preserve"> (linguistique)</w:t>
      </w:r>
      <w:r w:rsidR="00025315">
        <w:rPr>
          <w:szCs w:val="24"/>
        </w:rPr>
        <w:t xml:space="preserve"> et l’absence de répartition des crédits budgétaires à attribuer aux institutions francophones, néerlandophones et bilingues </w:t>
      </w:r>
      <w:r w:rsidR="008E01F6">
        <w:rPr>
          <w:szCs w:val="24"/>
        </w:rPr>
        <w:t>expliquent pourquoi</w:t>
      </w:r>
      <w:r w:rsidR="00025315">
        <w:rPr>
          <w:szCs w:val="24"/>
        </w:rPr>
        <w:t xml:space="preserve"> ces compétences sont restées gérées par le gouvernement national jusqu’en 1989. Le problème concernait les institutions privées car</w:t>
      </w:r>
      <w:r w:rsidR="00060039">
        <w:rPr>
          <w:szCs w:val="24"/>
        </w:rPr>
        <w:t>,</w:t>
      </w:r>
      <w:r w:rsidR="00025315">
        <w:rPr>
          <w:szCs w:val="24"/>
        </w:rPr>
        <w:t xml:space="preserve"> du côté public</w:t>
      </w:r>
      <w:r w:rsidR="000F0C99">
        <w:rPr>
          <w:szCs w:val="24"/>
        </w:rPr>
        <w:t>,</w:t>
      </w:r>
      <w:r w:rsidR="00025315">
        <w:rPr>
          <w:szCs w:val="24"/>
        </w:rPr>
        <w:t xml:space="preserve"> elles avaient, dès 1980</w:t>
      </w:r>
      <w:r w:rsidR="008E01F6">
        <w:rPr>
          <w:szCs w:val="24"/>
        </w:rPr>
        <w:t>,</w:t>
      </w:r>
      <w:r w:rsidR="00025315">
        <w:rPr>
          <w:szCs w:val="24"/>
        </w:rPr>
        <w:t xml:space="preserve"> été considérées comme bicommunautaire (</w:t>
      </w:r>
      <w:r w:rsidR="008E01F6">
        <w:t>ARCQ</w:t>
      </w:r>
      <w:r w:rsidR="00025315">
        <w:t>, 1993).</w:t>
      </w:r>
    </w:p>
    <w:p w14:paraId="094AAA33" w14:textId="59652261" w:rsidR="008E7CD3" w:rsidRDefault="008E01F6" w:rsidP="00A64223">
      <w:pPr>
        <w:spacing w:after="120" w:line="360" w:lineRule="auto"/>
        <w:jc w:val="both"/>
      </w:pPr>
      <w:r w:rsidRPr="003B090C">
        <w:rPr>
          <w:szCs w:val="24"/>
        </w:rPr>
        <w:t>La</w:t>
      </w:r>
      <w:r w:rsidR="00025608" w:rsidRPr="003B090C">
        <w:rPr>
          <w:szCs w:val="24"/>
        </w:rPr>
        <w:t xml:space="preserve"> réforme</w:t>
      </w:r>
      <w:r w:rsidR="00060039" w:rsidRPr="003B090C">
        <w:rPr>
          <w:szCs w:val="24"/>
        </w:rPr>
        <w:t xml:space="preserve"> de 1980</w:t>
      </w:r>
      <w:r w:rsidR="00025608">
        <w:rPr>
          <w:szCs w:val="24"/>
        </w:rPr>
        <w:t xml:space="preserve"> </w:t>
      </w:r>
      <w:r>
        <w:rPr>
          <w:szCs w:val="24"/>
        </w:rPr>
        <w:t>met également</w:t>
      </w:r>
      <w:r w:rsidR="00025608">
        <w:t xml:space="preserve"> en place </w:t>
      </w:r>
      <w:r w:rsidR="00BE14F3">
        <w:t>les Régions</w:t>
      </w:r>
      <w:r w:rsidR="00025608" w:rsidRPr="00D94C03">
        <w:t xml:space="preserve"> wallonne et flamande</w:t>
      </w:r>
      <w:r w:rsidR="00025608">
        <w:t>,</w:t>
      </w:r>
      <w:r w:rsidR="00025608" w:rsidRPr="00D94C03">
        <w:t xml:space="preserve"> en application </w:t>
      </w:r>
      <w:r w:rsidR="00EA78F8">
        <w:t>de la réforme</w:t>
      </w:r>
      <w:r w:rsidR="00025608" w:rsidRPr="00D94C03">
        <w:t xml:space="preserve"> de 1970</w:t>
      </w:r>
      <w:r w:rsidR="00025608">
        <w:t xml:space="preserve">. Elles sont </w:t>
      </w:r>
      <w:r w:rsidR="000F0C99">
        <w:t xml:space="preserve">désormais </w:t>
      </w:r>
      <w:r w:rsidR="00025608">
        <w:t>dotées</w:t>
      </w:r>
      <w:r w:rsidR="00025608" w:rsidRPr="00D94C03">
        <w:t xml:space="preserve"> d'un exécutif propre</w:t>
      </w:r>
      <w:r w:rsidR="00025608">
        <w:t xml:space="preserve"> et </w:t>
      </w:r>
      <w:r w:rsidR="00025608" w:rsidRPr="00D94C03">
        <w:t>peuvent prendre des décrets qui ont force de loi. Mais, cette avancée dans la régionalisation va de pair avec une mise entre parenthèses de la Région bruxelloise</w:t>
      </w:r>
      <w:r w:rsidR="00025608">
        <w:t xml:space="preserve"> (qui ne verra le jour qu’en 1989)</w:t>
      </w:r>
      <w:r w:rsidR="00025608" w:rsidRPr="00D94C03">
        <w:t xml:space="preserve">. </w:t>
      </w:r>
      <w:r w:rsidR="008E7CD3">
        <w:t xml:space="preserve">Les Régions sont compétentes pour </w:t>
      </w:r>
      <w:r w:rsidR="008E7CD3" w:rsidRPr="00D94C03">
        <w:t>l'aménagement du territoire, l'environnement et la politique de l'eau, la rénovation rurale et la conservation de la nature, le logement, l'économie, l'énergie, les pouvoirs subordonnés et l'emploi.</w:t>
      </w:r>
      <w:r w:rsidR="000F0C99">
        <w:t xml:space="preserve"> </w:t>
      </w:r>
      <w:r w:rsidR="008E7CD3">
        <w:t xml:space="preserve">La Région bruxelloise </w:t>
      </w:r>
      <w:r w:rsidR="001B4F70">
        <w:t>ne sera pas dotée d’institutions propres</w:t>
      </w:r>
      <w:r w:rsidR="00EA78F8">
        <w:t xml:space="preserve">, </w:t>
      </w:r>
      <w:r w:rsidR="001B4F70">
        <w:t>continuera d’être administrée par la législation préparatoire de 1974</w:t>
      </w:r>
      <w:r w:rsidR="00EA78F8">
        <w:rPr>
          <w:rStyle w:val="Appelnotedebasdep"/>
        </w:rPr>
        <w:footnoteReference w:id="28"/>
      </w:r>
      <w:r w:rsidR="001B4F70">
        <w:t xml:space="preserve"> </w:t>
      </w:r>
      <w:r w:rsidR="00EA78F8">
        <w:t>et</w:t>
      </w:r>
      <w:r w:rsidR="001B4F70">
        <w:t xml:space="preserve"> restera soumise à l’autorité nationale. </w:t>
      </w:r>
      <w:r w:rsidR="009D332D" w:rsidRPr="008E7CD3">
        <w:rPr>
          <w:color w:val="231F20"/>
          <w:szCs w:val="24"/>
          <w:shd w:val="clear" w:color="auto" w:fill="FFFFFF"/>
        </w:rPr>
        <w:t xml:space="preserve">Le </w:t>
      </w:r>
      <w:r w:rsidR="009D332D">
        <w:rPr>
          <w:color w:val="231F20"/>
          <w:szCs w:val="24"/>
          <w:shd w:val="clear" w:color="auto" w:fill="FFFFFF"/>
        </w:rPr>
        <w:t>C</w:t>
      </w:r>
      <w:r w:rsidR="009D332D" w:rsidRPr="008E7CD3">
        <w:rPr>
          <w:color w:val="231F20"/>
          <w:szCs w:val="24"/>
          <w:shd w:val="clear" w:color="auto" w:fill="FFFFFF"/>
        </w:rPr>
        <w:t>omité ministériel chargé des matières bruxelloises restait donc au sein du gouvernement national</w:t>
      </w:r>
      <w:r w:rsidR="009D332D" w:rsidRPr="008E7CD3">
        <w:rPr>
          <w:rStyle w:val="Appelnotedebasdep"/>
          <w:color w:val="231F20"/>
          <w:szCs w:val="24"/>
          <w:shd w:val="clear" w:color="auto" w:fill="FFFFFF"/>
        </w:rPr>
        <w:footnoteReference w:id="29"/>
      </w:r>
      <w:r w:rsidR="009D332D" w:rsidRPr="008E7CD3">
        <w:rPr>
          <w:color w:val="231F20"/>
          <w:szCs w:val="24"/>
          <w:shd w:val="clear" w:color="auto" w:fill="FFFFFF"/>
        </w:rPr>
        <w:t>.</w:t>
      </w:r>
    </w:p>
    <w:p w14:paraId="34B8AA2A" w14:textId="77455D0C" w:rsidR="00F10D08" w:rsidRDefault="00F10D08" w:rsidP="003B090C">
      <w:pPr>
        <w:pStyle w:val="Corpsdetexte2"/>
        <w:spacing w:after="120" w:line="360" w:lineRule="auto"/>
      </w:pPr>
      <w:r>
        <w:t>Selon la loi du 9 août 1980, les moyens des Communautés et Régions reposaient sur des dotations à charge du budget de l’État fédéral et des ristournes d'impôts mais aussi sur une fiscalité propre, des emprunts et des moyens non fiscaux propres</w:t>
      </w:r>
      <w:r>
        <w:rPr>
          <w:rStyle w:val="Appelnotedebasdep"/>
        </w:rPr>
        <w:footnoteReference w:id="30"/>
      </w:r>
      <w:r>
        <w:t>. Mais l’essentiel des moyens était constitué de dotations de l’Etat</w:t>
      </w:r>
      <w:r w:rsidR="00DB7676">
        <w:t xml:space="preserve"> national</w:t>
      </w:r>
      <w:r>
        <w:t xml:space="preserve"> calculées sur la base des montants représentatifs </w:t>
      </w:r>
      <w:r w:rsidR="002A06C6">
        <w:t xml:space="preserve">du coût </w:t>
      </w:r>
      <w:r>
        <w:t xml:space="preserve">des compétences transférées. </w:t>
      </w:r>
      <w:r w:rsidR="00EB012C">
        <w:t>Même si</w:t>
      </w:r>
      <w:r>
        <w:t xml:space="preserve"> les Régions et les Communautés sont seules responsables des engagements qu’elles prennent et assurent seules le financement de leur budget</w:t>
      </w:r>
      <w:r w:rsidR="00EB2AE8">
        <w:rPr>
          <w:rStyle w:val="Appelnotedebasdep"/>
        </w:rPr>
        <w:footnoteReference w:id="31"/>
      </w:r>
      <w:r w:rsidR="00EB012C">
        <w:t>, c</w:t>
      </w:r>
      <w:r w:rsidR="003B090C">
        <w:t xml:space="preserve">e système de financement a souvent été associé à un </w:t>
      </w:r>
      <w:r w:rsidR="002A06C6">
        <w:t>« </w:t>
      </w:r>
      <w:r w:rsidR="003B090C">
        <w:t>fédéralisme de consommation</w:t>
      </w:r>
      <w:r w:rsidR="002A06C6">
        <w:t> »</w:t>
      </w:r>
      <w:r w:rsidR="003B090C">
        <w:t xml:space="preserve"> car l’essentiel des ressources des entités fédérées reposait sur des dotations en provenance du budget de l’État </w:t>
      </w:r>
      <w:r w:rsidR="00DB7676">
        <w:t>national</w:t>
      </w:r>
      <w:r w:rsidR="003B090C">
        <w:t xml:space="preserve">, octroyées sur la base des compétences </w:t>
      </w:r>
      <w:r w:rsidR="00EB2AE8">
        <w:t xml:space="preserve">transférées </w:t>
      </w:r>
      <w:r w:rsidR="003B090C">
        <w:t xml:space="preserve">et réparties en fonction de clés de répartition. </w:t>
      </w:r>
      <w:r w:rsidR="004D2307" w:rsidRPr="00D94C03">
        <w:t xml:space="preserve">La masse budgétaire transférée en application de la réforme de 1980 était </w:t>
      </w:r>
      <w:r w:rsidR="00EB012C">
        <w:t xml:space="preserve">estimée à </w:t>
      </w:r>
      <w:r w:rsidR="004D2307" w:rsidRPr="00D94C03">
        <w:t>9% du budget national</w:t>
      </w:r>
      <w:r w:rsidR="00DB7676">
        <w:rPr>
          <w:rStyle w:val="Appelnotedebasdep"/>
        </w:rPr>
        <w:footnoteReference w:id="32"/>
      </w:r>
      <w:r w:rsidR="004D2307" w:rsidRPr="00D94C03">
        <w:t>.</w:t>
      </w:r>
    </w:p>
    <w:p w14:paraId="5DBC8A85" w14:textId="4B889306" w:rsidR="009E1C2B" w:rsidRDefault="009E1C2B" w:rsidP="00B64A78">
      <w:pPr>
        <w:spacing w:before="120" w:line="360" w:lineRule="auto"/>
        <w:jc w:val="both"/>
        <w:rPr>
          <w:shd w:val="clear" w:color="auto" w:fill="FAFAFA"/>
        </w:rPr>
      </w:pPr>
      <w:r w:rsidRPr="009E1C2B">
        <w:rPr>
          <w:shd w:val="clear" w:color="auto" w:fill="FAFAFA"/>
        </w:rPr>
        <w:lastRenderedPageBreak/>
        <w:t>En 1983</w:t>
      </w:r>
      <w:r>
        <w:rPr>
          <w:shd w:val="clear" w:color="auto" w:fill="FAFAFA"/>
        </w:rPr>
        <w:t>, la révision de la Constitution (art.</w:t>
      </w:r>
      <w:r w:rsidRPr="009E1C2B">
        <w:rPr>
          <w:shd w:val="clear" w:color="auto" w:fill="FAFAFA"/>
        </w:rPr>
        <w:t xml:space="preserve"> 59ter</w:t>
      </w:r>
      <w:r w:rsidR="003446C8">
        <w:rPr>
          <w:shd w:val="clear" w:color="auto" w:fill="FAFAFA"/>
        </w:rPr>
        <w:t xml:space="preserve">) permet de </w:t>
      </w:r>
      <w:r w:rsidRPr="009E1C2B">
        <w:rPr>
          <w:shd w:val="clear" w:color="auto" w:fill="FAFAFA"/>
        </w:rPr>
        <w:t>créer la Communauté germanophone, qui succède ainsi à la Communauté culturelle allemande</w:t>
      </w:r>
      <w:r w:rsidR="00B64A78">
        <w:rPr>
          <w:shd w:val="clear" w:color="auto" w:fill="FAFAFA"/>
        </w:rPr>
        <w:t xml:space="preserve"> et lui </w:t>
      </w:r>
      <w:r w:rsidRPr="009E1C2B">
        <w:rPr>
          <w:shd w:val="clear" w:color="auto" w:fill="FAFAFA"/>
        </w:rPr>
        <w:t xml:space="preserve">donne les mêmes bases constitutionnelles </w:t>
      </w:r>
      <w:r w:rsidR="003446C8">
        <w:rPr>
          <w:shd w:val="clear" w:color="auto" w:fill="FAFAFA"/>
        </w:rPr>
        <w:t xml:space="preserve">qu’aux deux autres Communautés. Elle dispose </w:t>
      </w:r>
      <w:r w:rsidR="00E418A4">
        <w:rPr>
          <w:shd w:val="clear" w:color="auto" w:fill="FAFAFA"/>
        </w:rPr>
        <w:t xml:space="preserve">désormais </w:t>
      </w:r>
      <w:r w:rsidR="003446C8">
        <w:rPr>
          <w:shd w:val="clear" w:color="auto" w:fill="FAFAFA"/>
        </w:rPr>
        <w:t>du</w:t>
      </w:r>
      <w:r w:rsidRPr="009E1C2B">
        <w:rPr>
          <w:shd w:val="clear" w:color="auto" w:fill="FAFAFA"/>
        </w:rPr>
        <w:t xml:space="preserve"> pouvoir </w:t>
      </w:r>
      <w:proofErr w:type="spellStart"/>
      <w:r w:rsidRPr="009E1C2B">
        <w:rPr>
          <w:shd w:val="clear" w:color="auto" w:fill="FAFAFA"/>
        </w:rPr>
        <w:t>décrétal</w:t>
      </w:r>
      <w:proofErr w:type="spellEnd"/>
      <w:r w:rsidRPr="009E1C2B">
        <w:rPr>
          <w:shd w:val="clear" w:color="auto" w:fill="FAFAFA"/>
        </w:rPr>
        <w:t xml:space="preserve"> dans les matières culturelles, les matières personnalisables, l’enseignement, la coopération entre communautés, la coopération culturelle internationale. Les décrets de la Communauté germanophone ont force de loi dans la région de langue allemande. La Communauté germanophone est dotée d’un exécutif propre. C’est la loi du 31 décembre 1983</w:t>
      </w:r>
      <w:r w:rsidR="00A12876">
        <w:rPr>
          <w:rStyle w:val="Appelnotedebasdep"/>
        </w:rPr>
        <w:footnoteReference w:id="33"/>
      </w:r>
      <w:r w:rsidRPr="009E1C2B">
        <w:rPr>
          <w:shd w:val="clear" w:color="auto" w:fill="FAFAFA"/>
        </w:rPr>
        <w:t xml:space="preserve"> de réformes institutionnelles pour la Communauté germanophone qui met en œuvre le nouvel article 59ter de la Constitution</w:t>
      </w:r>
      <w:r w:rsidR="00A12876">
        <w:rPr>
          <w:shd w:val="clear" w:color="auto" w:fill="FAFAFA"/>
        </w:rPr>
        <w:t xml:space="preserve"> et organise son financement essentiellement sur la base d’une dotation de l’Etat national</w:t>
      </w:r>
      <w:r w:rsidRPr="009E1C2B">
        <w:rPr>
          <w:shd w:val="clear" w:color="auto" w:fill="FAFAFA"/>
        </w:rPr>
        <w:t xml:space="preserve">. </w:t>
      </w:r>
    </w:p>
    <w:p w14:paraId="475D72DD" w14:textId="0E0884BC" w:rsidR="00A55CD4" w:rsidRPr="00A414BE" w:rsidRDefault="00A55CD4" w:rsidP="00A72528">
      <w:pPr>
        <w:pStyle w:val="Titre2"/>
        <w:rPr>
          <w:shd w:val="clear" w:color="auto" w:fill="FFFFFF"/>
        </w:rPr>
      </w:pPr>
      <w:bookmarkStart w:id="7" w:name="_Toc96081442"/>
      <w:r w:rsidRPr="00A414BE">
        <w:rPr>
          <w:shd w:val="clear" w:color="auto" w:fill="FFFFFF"/>
        </w:rPr>
        <w:t>La réforme institutionnelle de 19</w:t>
      </w:r>
      <w:r>
        <w:rPr>
          <w:shd w:val="clear" w:color="auto" w:fill="FFFFFF"/>
        </w:rPr>
        <w:t>88-89</w:t>
      </w:r>
      <w:bookmarkEnd w:id="7"/>
    </w:p>
    <w:p w14:paraId="7B4ACC9C" w14:textId="7DFAF3B0" w:rsidR="004D2307" w:rsidRDefault="001534E4" w:rsidP="004D2307">
      <w:pPr>
        <w:spacing w:after="120" w:line="360" w:lineRule="auto"/>
        <w:jc w:val="both"/>
        <w:rPr>
          <w:color w:val="231F20"/>
          <w:szCs w:val="24"/>
          <w:shd w:val="clear" w:color="auto" w:fill="FFFFFF"/>
        </w:rPr>
      </w:pPr>
      <w:r w:rsidRPr="004D4E4A">
        <w:t xml:space="preserve">La </w:t>
      </w:r>
      <w:r w:rsidRPr="00FF4095">
        <w:rPr>
          <w:b/>
        </w:rPr>
        <w:t>troisième réforme institutionnelle</w:t>
      </w:r>
      <w:r w:rsidRPr="004D4E4A">
        <w:rPr>
          <w:rStyle w:val="Appelnotedebasdep"/>
          <w:szCs w:val="24"/>
        </w:rPr>
        <w:footnoteReference w:id="34"/>
      </w:r>
      <w:r w:rsidRPr="004D4E4A">
        <w:t xml:space="preserve"> de 1988-1989</w:t>
      </w:r>
      <w:r w:rsidRPr="004D4E4A">
        <w:rPr>
          <w:rStyle w:val="Appelnotedebasdep"/>
          <w:szCs w:val="24"/>
        </w:rPr>
        <w:footnoteReference w:id="35"/>
      </w:r>
      <w:r w:rsidRPr="004D4E4A">
        <w:t xml:space="preserve"> entendait achever la réforme de l’État</w:t>
      </w:r>
      <w:r>
        <w:t xml:space="preserve">. </w:t>
      </w:r>
      <w:r w:rsidRPr="00D94C03">
        <w:t>La première phase</w:t>
      </w:r>
      <w:r w:rsidR="005B39A3">
        <w:t xml:space="preserve"> </w:t>
      </w:r>
      <w:r w:rsidRPr="00D94C03">
        <w:t xml:space="preserve">élargit considérablement les compétences des Communautés et </w:t>
      </w:r>
      <w:r>
        <w:t xml:space="preserve">des </w:t>
      </w:r>
      <w:r w:rsidRPr="00D94C03">
        <w:t xml:space="preserve">Régions. </w:t>
      </w:r>
      <w:r w:rsidR="00A64223" w:rsidRPr="004D4E4A">
        <w:t xml:space="preserve">Les Régions deviennent </w:t>
      </w:r>
      <w:r w:rsidR="00DB7676">
        <w:t xml:space="preserve">désormais </w:t>
      </w:r>
      <w:r w:rsidR="00A64223" w:rsidRPr="004D4E4A">
        <w:t>compétentes pour les travaux publics et le transport.</w:t>
      </w:r>
      <w:r w:rsidR="00A64223">
        <w:t xml:space="preserve"> Au niveau des Communautés, la réforme </w:t>
      </w:r>
      <w:r w:rsidRPr="00D94C03">
        <w:t>aboutit notamment à la communautarisation de l'enseignement</w:t>
      </w:r>
      <w:r w:rsidR="005B39A3">
        <w:rPr>
          <w:rStyle w:val="Appelnotedebasdep"/>
        </w:rPr>
        <w:footnoteReference w:id="36"/>
      </w:r>
      <w:r w:rsidRPr="004D4E4A">
        <w:t xml:space="preserve">. </w:t>
      </w:r>
      <w:r w:rsidR="00A64223">
        <w:rPr>
          <w:szCs w:val="24"/>
        </w:rPr>
        <w:t>Cette dernière est l’aboutissement d’un long processus qui commença en</w:t>
      </w:r>
      <w:r w:rsidR="00A64223" w:rsidRPr="00A64223">
        <w:rPr>
          <w:szCs w:val="24"/>
        </w:rPr>
        <w:t xml:space="preserve"> </w:t>
      </w:r>
      <w:r w:rsidR="00A64223" w:rsidRPr="00A64223">
        <w:rPr>
          <w:color w:val="231F20"/>
          <w:szCs w:val="24"/>
          <w:shd w:val="clear" w:color="auto" w:fill="FFFFFF"/>
        </w:rPr>
        <w:t>1968</w:t>
      </w:r>
      <w:r w:rsidR="00A64223">
        <w:rPr>
          <w:color w:val="231F20"/>
          <w:szCs w:val="24"/>
          <w:shd w:val="clear" w:color="auto" w:fill="FFFFFF"/>
        </w:rPr>
        <w:t xml:space="preserve"> avec l’inscription de</w:t>
      </w:r>
      <w:r w:rsidR="00A64223" w:rsidRPr="00A64223">
        <w:rPr>
          <w:color w:val="231F20"/>
          <w:szCs w:val="24"/>
          <w:shd w:val="clear" w:color="auto" w:fill="FFFFFF"/>
        </w:rPr>
        <w:t xml:space="preserve"> la scission du département de l’enseignement en deux entités administratives dans la déclaration gouvernementale du gouvernement </w:t>
      </w:r>
      <w:r w:rsidR="00DB7676">
        <w:rPr>
          <w:color w:val="231F20"/>
          <w:szCs w:val="24"/>
          <w:shd w:val="clear" w:color="auto" w:fill="FFFFFF"/>
        </w:rPr>
        <w:t xml:space="preserve">national de </w:t>
      </w:r>
      <w:r w:rsidR="00A64223" w:rsidRPr="00A64223">
        <w:rPr>
          <w:color w:val="231F20"/>
          <w:szCs w:val="24"/>
          <w:shd w:val="clear" w:color="auto" w:fill="FFFFFF"/>
        </w:rPr>
        <w:t>G. Eyskens</w:t>
      </w:r>
      <w:r w:rsidR="00A64223" w:rsidRPr="00A64223">
        <w:rPr>
          <w:rStyle w:val="Appelnotedebasdep"/>
          <w:color w:val="231F20"/>
          <w:szCs w:val="24"/>
          <w:shd w:val="clear" w:color="auto" w:fill="FFFFFF"/>
        </w:rPr>
        <w:footnoteReference w:id="37"/>
      </w:r>
      <w:r w:rsidR="00A64223" w:rsidRPr="00A64223">
        <w:rPr>
          <w:color w:val="231F20"/>
          <w:szCs w:val="24"/>
          <w:shd w:val="clear" w:color="auto" w:fill="FFFFFF"/>
        </w:rPr>
        <w:t xml:space="preserve">. </w:t>
      </w:r>
      <w:r w:rsidR="00DB7676">
        <w:rPr>
          <w:color w:val="231F20"/>
          <w:szCs w:val="24"/>
          <w:shd w:val="clear" w:color="auto" w:fill="FFFFFF"/>
        </w:rPr>
        <w:t>La compétence de l’enseignement était désormais gérée par deux ministres,</w:t>
      </w:r>
      <w:r w:rsidR="00A64223" w:rsidRPr="00A64223">
        <w:rPr>
          <w:color w:val="231F20"/>
          <w:szCs w:val="24"/>
          <w:shd w:val="clear" w:color="auto" w:fill="FFFFFF"/>
        </w:rPr>
        <w:t xml:space="preserve"> un pour le secteur francophone et un pour le secteur néerlandophone.</w:t>
      </w:r>
      <w:r w:rsidR="004D2307">
        <w:rPr>
          <w:color w:val="231F20"/>
          <w:szCs w:val="24"/>
          <w:shd w:val="clear" w:color="auto" w:fill="FFFFFF"/>
        </w:rPr>
        <w:t xml:space="preserve"> </w:t>
      </w:r>
    </w:p>
    <w:p w14:paraId="3F13BF0D" w14:textId="5B05784B" w:rsidR="00981B29" w:rsidRDefault="001534E4" w:rsidP="00ED057E">
      <w:pPr>
        <w:spacing w:after="120" w:line="360" w:lineRule="auto"/>
        <w:jc w:val="both"/>
      </w:pPr>
      <w:r w:rsidRPr="000F0C99">
        <w:t>La deuxième phase de la réforme</w:t>
      </w:r>
      <w:r w:rsidR="00A64223" w:rsidRPr="000F0C99">
        <w:t xml:space="preserve"> de 1988</w:t>
      </w:r>
      <w:r w:rsidR="002B4A1B" w:rsidRPr="000F0C99">
        <w:t>-89</w:t>
      </w:r>
      <w:r w:rsidRPr="000F0C99">
        <w:t xml:space="preserve"> </w:t>
      </w:r>
      <w:r w:rsidR="005B39A3" w:rsidRPr="000F0C99">
        <w:t>dote</w:t>
      </w:r>
      <w:r w:rsidRPr="000F0C99">
        <w:t xml:space="preserve"> les </w:t>
      </w:r>
      <w:r w:rsidR="00DB7676">
        <w:t>entités fédérées</w:t>
      </w:r>
      <w:r w:rsidRPr="000F0C99">
        <w:t xml:space="preserve"> d’un nouveau système de financement (loi spéciale du 16 janvier 1989</w:t>
      </w:r>
      <w:r w:rsidR="000F0C99">
        <w:t xml:space="preserve">). </w:t>
      </w:r>
      <w:r w:rsidR="004D2307" w:rsidRPr="004D4E4A">
        <w:t>La masse budgétaire à la disposition des Communautés et des Régions est alors estimée à 32% du budget de l’État national</w:t>
      </w:r>
      <w:r w:rsidR="00A12876">
        <w:t xml:space="preserve">, </w:t>
      </w:r>
      <w:r w:rsidR="004D2307" w:rsidRPr="004D4E4A">
        <w:t xml:space="preserve">un net </w:t>
      </w:r>
      <w:r w:rsidR="004D2307" w:rsidRPr="004D4E4A">
        <w:lastRenderedPageBreak/>
        <w:t xml:space="preserve">accroissement par rapport aux 9% </w:t>
      </w:r>
      <w:r w:rsidR="004D2307">
        <w:t xml:space="preserve">issus </w:t>
      </w:r>
      <w:r w:rsidR="004D2307" w:rsidRPr="004D4E4A">
        <w:t>de la réforme de 1980</w:t>
      </w:r>
      <w:r w:rsidR="004D2307" w:rsidRPr="004D4E4A">
        <w:rPr>
          <w:rStyle w:val="Appelnotedebasdep"/>
          <w:szCs w:val="24"/>
        </w:rPr>
        <w:footnoteReference w:id="38"/>
      </w:r>
      <w:r w:rsidR="004D2307" w:rsidRPr="004D4E4A">
        <w:t xml:space="preserve">. </w:t>
      </w:r>
      <w:r w:rsidR="00F9660F">
        <w:t>Les nouveaux principes de financement sont la responsabilisation financière, le remplacement du système de dotations par un système d’attribution du produit de certains impôts et la contribution des entités fédérées à l’assainissement des finances publiques.</w:t>
      </w:r>
      <w:r w:rsidR="00ED057E">
        <w:t xml:space="preserve"> Cependant, l’essentiel des moyens fiscaux sont </w:t>
      </w:r>
      <w:r w:rsidR="00EB2AE8">
        <w:t xml:space="preserve">toujours </w:t>
      </w:r>
      <w:r w:rsidR="00ED057E">
        <w:t xml:space="preserve">mis à la disposition des </w:t>
      </w:r>
      <w:r w:rsidR="00EB2AE8">
        <w:t>entités fédérées</w:t>
      </w:r>
      <w:r w:rsidR="00ED057E">
        <w:t xml:space="preserve"> sur la base d’un mécanisme de transferts ou de rétrocession de moyens qui restent prélevés par l</w:t>
      </w:r>
      <w:r w:rsidR="00ED23E4">
        <w:t xml:space="preserve">’autorité nationale </w:t>
      </w:r>
      <w:r w:rsidR="00ED057E">
        <w:t xml:space="preserve">en vertu de règles et de lois fiscales </w:t>
      </w:r>
      <w:r w:rsidR="00ED23E4">
        <w:t>nationales</w:t>
      </w:r>
      <w:r w:rsidR="00ED057E">
        <w:t xml:space="preserve"> et dont les règles d’évolution sont inscrites dans une loi spéciale. On reste donc proche d’un système de dotations évolutives et programmées dans le temps</w:t>
      </w:r>
      <w:r w:rsidR="00ED057E">
        <w:rPr>
          <w:rStyle w:val="Appelnotedebasdep"/>
        </w:rPr>
        <w:footnoteReference w:id="39"/>
      </w:r>
      <w:r w:rsidR="00ED057E">
        <w:t xml:space="preserve">. </w:t>
      </w:r>
      <w:r w:rsidR="0066081E">
        <w:t>Le</w:t>
      </w:r>
      <w:r w:rsidR="00ED057E">
        <w:t xml:space="preserve"> nouveau système de financement abandonne la règle du partage des ressources transférées par l’État selon des critères fixes au profit d’un système dit du </w:t>
      </w:r>
      <w:r w:rsidR="00273637">
        <w:t>« </w:t>
      </w:r>
      <w:r w:rsidR="00ED057E">
        <w:t>juste retour</w:t>
      </w:r>
      <w:r w:rsidR="00273637">
        <w:t> »</w:t>
      </w:r>
      <w:r w:rsidR="00ED057E">
        <w:rPr>
          <w:rStyle w:val="Appelnotedebasdep"/>
        </w:rPr>
        <w:footnoteReference w:id="40"/>
      </w:r>
      <w:r w:rsidR="00ED057E">
        <w:t xml:space="preserve"> qui assure un lien direct entre les ressources des </w:t>
      </w:r>
      <w:r w:rsidR="00ED23E4">
        <w:t>entités</w:t>
      </w:r>
      <w:r w:rsidR="00ED057E">
        <w:t xml:space="preserve"> et l’impôt perçu sur leur territoire et les met ainsi en face de leurs propres responsabilités</w:t>
      </w:r>
      <w:r w:rsidR="00ED057E">
        <w:rPr>
          <w:rStyle w:val="Appelnotedebasdep"/>
        </w:rPr>
        <w:footnoteReference w:id="41"/>
      </w:r>
      <w:r w:rsidR="00ED057E">
        <w:t xml:space="preserve">. Une grande partie des règles fiscales (bases imposables, taux, abattements, crédits d’impôts, …) sont restées des prérogatives fédérales à l’exception de certains impôts </w:t>
      </w:r>
      <w:r w:rsidR="00273637">
        <w:t xml:space="preserve">régionalisés </w:t>
      </w:r>
      <w:r w:rsidR="00ED057E">
        <w:t>et la possibilité, sous conditions, pour les Régions d’introduire des additionnels ou remises à l’impôt des personnes physiques</w:t>
      </w:r>
      <w:r w:rsidR="00981B29">
        <w:rPr>
          <w:rStyle w:val="Appelnotedebasdep"/>
        </w:rPr>
        <w:footnoteReference w:id="42"/>
      </w:r>
      <w:r w:rsidR="00981B29">
        <w:t xml:space="preserve">. Par ailleurs, </w:t>
      </w:r>
      <w:r w:rsidR="00981B29" w:rsidRPr="00241AAE">
        <w:rPr>
          <w:rFonts w:asciiTheme="majorBidi" w:hAnsiTheme="majorBidi" w:cstheme="majorBidi"/>
          <w:szCs w:val="24"/>
        </w:rPr>
        <w:t>selon la Constitution</w:t>
      </w:r>
      <w:r w:rsidR="00981B29">
        <w:rPr>
          <w:rFonts w:asciiTheme="majorBidi" w:hAnsiTheme="majorBidi" w:cstheme="majorBidi"/>
          <w:szCs w:val="24"/>
        </w:rPr>
        <w:t xml:space="preserve"> (art. 170 §2)</w:t>
      </w:r>
      <w:r w:rsidR="00981B29" w:rsidRPr="00241AAE">
        <w:rPr>
          <w:rFonts w:asciiTheme="majorBidi" w:hAnsiTheme="majorBidi" w:cstheme="majorBidi"/>
          <w:szCs w:val="24"/>
        </w:rPr>
        <w:t xml:space="preserve">, les Régions disposent d’un pouvoir d’imposition général et illimité et peuvent créer n’importe quel impôt. Cependant, il </w:t>
      </w:r>
      <w:r w:rsidR="00981B29">
        <w:rPr>
          <w:rFonts w:asciiTheme="majorBidi" w:hAnsiTheme="majorBidi" w:cstheme="majorBidi"/>
          <w:szCs w:val="24"/>
        </w:rPr>
        <w:t>a été</w:t>
      </w:r>
      <w:r w:rsidR="00981B29" w:rsidRPr="00241AAE">
        <w:rPr>
          <w:rFonts w:asciiTheme="majorBidi" w:hAnsiTheme="majorBidi" w:cstheme="majorBidi"/>
          <w:szCs w:val="24"/>
        </w:rPr>
        <w:t xml:space="preserve"> prévu que l’État fédéral puisse restreindre ce pouvoir, ce qu’il a fait en votant la loi du 23 janvier 1989</w:t>
      </w:r>
      <w:r w:rsidR="00981B29" w:rsidRPr="00241AAE">
        <w:rPr>
          <w:rStyle w:val="Appelnotedebasdep"/>
          <w:rFonts w:asciiTheme="majorBidi" w:hAnsiTheme="majorBidi" w:cstheme="majorBidi"/>
          <w:szCs w:val="24"/>
        </w:rPr>
        <w:footnoteReference w:id="43"/>
      </w:r>
      <w:r w:rsidR="00981B29" w:rsidRPr="00241AAE">
        <w:rPr>
          <w:rFonts w:asciiTheme="majorBidi" w:hAnsiTheme="majorBidi" w:cstheme="majorBidi"/>
          <w:szCs w:val="24"/>
        </w:rPr>
        <w:t>. En vertu de cette loi, les entités fédérées ne peuvent lever d’impôt que dans les matières non encore imposées par le législateur fédéral</w:t>
      </w:r>
      <w:r w:rsidR="00981B29">
        <w:rPr>
          <w:rFonts w:asciiTheme="majorBidi" w:hAnsiTheme="majorBidi" w:cstheme="majorBidi"/>
          <w:szCs w:val="24"/>
        </w:rPr>
        <w:t xml:space="preserve"> ce qui limitait fortement l’autonomie des Régions. Cette restriction a été assouplie par la</w:t>
      </w:r>
      <w:r w:rsidR="00981B29" w:rsidRPr="00241AAE">
        <w:rPr>
          <w:rFonts w:asciiTheme="majorBidi" w:hAnsiTheme="majorBidi" w:cstheme="majorBidi"/>
          <w:szCs w:val="24"/>
        </w:rPr>
        <w:t xml:space="preserve"> loi spéciale du 16 juillet 1993 en réservant aux Régions le monopole des impôts en matière d’eau et de déchets et enlève </w:t>
      </w:r>
      <w:r w:rsidR="00981B29" w:rsidRPr="00241AAE">
        <w:rPr>
          <w:rFonts w:asciiTheme="majorBidi" w:hAnsiTheme="majorBidi" w:cstheme="majorBidi"/>
          <w:szCs w:val="24"/>
          <w:shd w:val="clear" w:color="auto" w:fill="FFFFFF" w:themeFill="background1"/>
        </w:rPr>
        <w:t xml:space="preserve">aussi </w:t>
      </w:r>
      <w:r w:rsidR="00981B29" w:rsidRPr="00241AAE">
        <w:rPr>
          <w:rFonts w:asciiTheme="majorBidi" w:hAnsiTheme="majorBidi" w:cstheme="majorBidi"/>
          <w:szCs w:val="24"/>
        </w:rPr>
        <w:t>au pouvoir fédéral et aux Communautés la possibilité, sur de tels impôts, d’établir des centimes additionnels ou d’accorder des remises.</w:t>
      </w:r>
    </w:p>
    <w:p w14:paraId="7268E9F0" w14:textId="59EA5C25" w:rsidR="00D6591B" w:rsidRDefault="005E04E5" w:rsidP="00025608">
      <w:pPr>
        <w:spacing w:after="120" w:line="360" w:lineRule="auto"/>
        <w:jc w:val="both"/>
      </w:pPr>
      <w:r>
        <w:lastRenderedPageBreak/>
        <w:t>La</w:t>
      </w:r>
      <w:r w:rsidR="008E7CD3">
        <w:t xml:space="preserve"> deuxième phase </w:t>
      </w:r>
      <w:r>
        <w:t xml:space="preserve">de </w:t>
      </w:r>
      <w:r w:rsidR="00273637">
        <w:t xml:space="preserve">la </w:t>
      </w:r>
      <w:r>
        <w:t xml:space="preserve">réforme </w:t>
      </w:r>
      <w:r w:rsidR="008E7CD3">
        <w:t>concrétise également l</w:t>
      </w:r>
      <w:r w:rsidR="001534E4" w:rsidRPr="004D4E4A">
        <w:t>a régionalisation à Bruxelles</w:t>
      </w:r>
      <w:r w:rsidR="005B39A3">
        <w:t xml:space="preserve">. </w:t>
      </w:r>
      <w:r w:rsidR="001534E4" w:rsidRPr="004D4E4A">
        <w:t>La loi spéciale du 12 janvier 1989</w:t>
      </w:r>
      <w:r w:rsidR="001534E4">
        <w:rPr>
          <w:rStyle w:val="Appelnotedebasdep"/>
        </w:rPr>
        <w:footnoteReference w:id="44"/>
      </w:r>
      <w:r w:rsidR="001534E4" w:rsidRPr="004D4E4A">
        <w:t xml:space="preserve"> </w:t>
      </w:r>
      <w:r w:rsidR="005B39A3">
        <w:t>crée</w:t>
      </w:r>
      <w:r w:rsidR="001534E4" w:rsidRPr="004D4E4A">
        <w:t xml:space="preserve"> la Région </w:t>
      </w:r>
      <w:r w:rsidR="00166D37">
        <w:t>de Bruxelles-Capitale</w:t>
      </w:r>
      <w:r w:rsidR="001534E4" w:rsidRPr="004D4E4A">
        <w:rPr>
          <w:rStyle w:val="Appelnotedebasdep"/>
        </w:rPr>
        <w:footnoteReference w:id="45"/>
      </w:r>
      <w:r w:rsidR="001534E4" w:rsidRPr="004D4E4A">
        <w:t xml:space="preserve"> et </w:t>
      </w:r>
      <w:r w:rsidR="001534E4">
        <w:t>l</w:t>
      </w:r>
      <w:r w:rsidR="005B39A3">
        <w:t>a</w:t>
      </w:r>
      <w:r w:rsidR="001534E4">
        <w:t xml:space="preserve"> dot</w:t>
      </w:r>
      <w:r w:rsidR="005B39A3">
        <w:t>e</w:t>
      </w:r>
      <w:r w:rsidR="001534E4" w:rsidRPr="004D4E4A">
        <w:t xml:space="preserve"> des mêmes compétences que les deux autres Régions</w:t>
      </w:r>
      <w:r w:rsidR="001534E4">
        <w:t xml:space="preserve">, </w:t>
      </w:r>
      <w:r w:rsidR="001534E4" w:rsidRPr="004D4E4A">
        <w:t>sous certaines conditions</w:t>
      </w:r>
      <w:r w:rsidR="001534E4">
        <w:t xml:space="preserve"> et restrictions</w:t>
      </w:r>
      <w:r w:rsidR="006122F6">
        <w:rPr>
          <w:rStyle w:val="Appelnotedebasdep"/>
        </w:rPr>
        <w:footnoteReference w:id="46"/>
      </w:r>
      <w:r w:rsidR="006122F6">
        <w:t>.</w:t>
      </w:r>
      <w:r w:rsidR="001534E4" w:rsidRPr="004D4E4A">
        <w:t xml:space="preserve"> Le Parlement de la Région de Bruxelles-Capitale peut prendre des ordonnances qui </w:t>
      </w:r>
      <w:r w:rsidR="006A4D9B">
        <w:t>peuvent modifier, abroger et compléter les lois</w:t>
      </w:r>
      <w:r w:rsidR="001534E4" w:rsidRPr="004D4E4A">
        <w:t xml:space="preserve"> mais qui reste</w:t>
      </w:r>
      <w:r w:rsidR="006A4D9B">
        <w:t>nt</w:t>
      </w:r>
      <w:r w:rsidR="001534E4" w:rsidRPr="004D4E4A">
        <w:t xml:space="preserve"> soumise</w:t>
      </w:r>
      <w:r w:rsidR="00EB787C">
        <w:t>s</w:t>
      </w:r>
      <w:r w:rsidR="001534E4" w:rsidRPr="004D4E4A">
        <w:t xml:space="preserve"> à des contrôles spécifiques</w:t>
      </w:r>
      <w:r w:rsidR="006122F6">
        <w:rPr>
          <w:rStyle w:val="Appelnotedebasdep"/>
        </w:rPr>
        <w:footnoteReference w:id="47"/>
      </w:r>
      <w:r w:rsidR="001534E4">
        <w:t xml:space="preserve">. </w:t>
      </w:r>
    </w:p>
    <w:p w14:paraId="159A1449" w14:textId="0F1C48DA" w:rsidR="009462FC" w:rsidRDefault="00025608" w:rsidP="00D6591B">
      <w:pPr>
        <w:spacing w:after="120" w:line="360" w:lineRule="auto"/>
        <w:jc w:val="both"/>
        <w:rPr>
          <w:szCs w:val="24"/>
        </w:rPr>
      </w:pPr>
      <w:r>
        <w:t xml:space="preserve">Trois autres institutions </w:t>
      </w:r>
      <w:r w:rsidR="003554C5">
        <w:t>sont</w:t>
      </w:r>
      <w:r>
        <w:t xml:space="preserve"> également créées sur le territoire de </w:t>
      </w:r>
      <w:r w:rsidR="005B39A3">
        <w:t xml:space="preserve">la Région de </w:t>
      </w:r>
      <w:r>
        <w:t>Bruxelles</w:t>
      </w:r>
      <w:r w:rsidR="005B39A3">
        <w:t>-</w:t>
      </w:r>
      <w:r w:rsidR="006E0693">
        <w:t>C</w:t>
      </w:r>
      <w:r w:rsidR="005B39A3">
        <w:t>apitale</w:t>
      </w:r>
      <w:r>
        <w:t> : les commissions communautaires française et flamande (qui succédaient aux commissions</w:t>
      </w:r>
      <w:r w:rsidR="00BE76D1">
        <w:t xml:space="preserve"> culturelles</w:t>
      </w:r>
      <w:r>
        <w:t xml:space="preserve"> française et néerlandaise) qui ne dispos</w:t>
      </w:r>
      <w:r w:rsidR="005B39A3">
        <w:t>ent</w:t>
      </w:r>
      <w:r>
        <w:t xml:space="preserve"> </w:t>
      </w:r>
      <w:r w:rsidR="00731AE8">
        <w:t>que de</w:t>
      </w:r>
      <w:r>
        <w:t xml:space="preserve"> compétences réglementaires et la commission communautaire commune</w:t>
      </w:r>
      <w:r w:rsidR="00AC3D5E">
        <w:t xml:space="preserve"> (COCOM)</w:t>
      </w:r>
      <w:r>
        <w:t>.</w:t>
      </w:r>
      <w:r w:rsidR="009F12D8">
        <w:t xml:space="preserve"> </w:t>
      </w:r>
      <w:r w:rsidR="003554C5">
        <w:t>Le</w:t>
      </w:r>
      <w:r w:rsidR="009F12D8">
        <w:t>s commissions communautaires unilingues</w:t>
      </w:r>
      <w:r w:rsidR="003554C5">
        <w:t xml:space="preserve"> (française et flamande) gèrent </w:t>
      </w:r>
      <w:r w:rsidR="009F12D8">
        <w:t xml:space="preserve">les </w:t>
      </w:r>
      <w:r w:rsidR="00B4505F">
        <w:t xml:space="preserve">institutions </w:t>
      </w:r>
      <w:r w:rsidR="003554C5">
        <w:t>se trouvant sur le territoire de la région de Bruxelles</w:t>
      </w:r>
      <w:r w:rsidR="006E0693">
        <w:t>-Capitale</w:t>
      </w:r>
      <w:r w:rsidR="003554C5">
        <w:t xml:space="preserve"> mais </w:t>
      </w:r>
      <w:r w:rsidR="00B4505F">
        <w:t>dépend</w:t>
      </w:r>
      <w:r w:rsidR="00481BCA">
        <w:t>a</w:t>
      </w:r>
      <w:r w:rsidR="00B4505F">
        <w:t xml:space="preserve">nt de leur </w:t>
      </w:r>
      <w:r w:rsidR="00273637">
        <w:t xml:space="preserve">Communauté </w:t>
      </w:r>
      <w:r w:rsidR="00B4505F">
        <w:t>respective</w:t>
      </w:r>
      <w:r w:rsidR="00A12876">
        <w:t xml:space="preserve"> (</w:t>
      </w:r>
      <w:r w:rsidR="00B4505F">
        <w:t xml:space="preserve">établissements scolaires, </w:t>
      </w:r>
      <w:r w:rsidR="009F12D8">
        <w:t>théâtres</w:t>
      </w:r>
      <w:r w:rsidR="00B4505F">
        <w:t xml:space="preserve">, </w:t>
      </w:r>
      <w:r w:rsidR="009F12D8">
        <w:t>crèches</w:t>
      </w:r>
      <w:r w:rsidR="00B4505F">
        <w:t>, etc</w:t>
      </w:r>
      <w:r w:rsidR="006E0693">
        <w:t>.</w:t>
      </w:r>
      <w:r w:rsidR="00A12876">
        <w:t>)</w:t>
      </w:r>
      <w:r w:rsidR="00B4505F">
        <w:t xml:space="preserve">. </w:t>
      </w:r>
      <w:r w:rsidR="003554C5">
        <w:t xml:space="preserve">La </w:t>
      </w:r>
      <w:r w:rsidR="00AC3D5E">
        <w:t>COCOM est compétente pour les institutions bicommunautaires (communes, CPAS, institutions privées) qui</w:t>
      </w:r>
      <w:r w:rsidR="00273637">
        <w:t>,</w:t>
      </w:r>
      <w:r w:rsidR="00AC3D5E">
        <w:t xml:space="preserve"> en raison de leur organisation</w:t>
      </w:r>
      <w:r w:rsidR="00273637">
        <w:t>,</w:t>
      </w:r>
      <w:r w:rsidR="00AC3D5E">
        <w:t xml:space="preserve"> ne dépend</w:t>
      </w:r>
      <w:r w:rsidR="005C1D31">
        <w:t>ent</w:t>
      </w:r>
      <w:r w:rsidR="00AC3D5E">
        <w:t xml:space="preserve"> pas des Communautés française ou flamande. La COCOM peut prendre des ordonnances </w:t>
      </w:r>
      <w:r w:rsidR="00AC3D5E" w:rsidRPr="00D6591B">
        <w:rPr>
          <w:szCs w:val="24"/>
        </w:rPr>
        <w:t>mais elles doivent être adoptée</w:t>
      </w:r>
      <w:r w:rsidR="005C1D31">
        <w:rPr>
          <w:szCs w:val="24"/>
        </w:rPr>
        <w:t>s</w:t>
      </w:r>
      <w:r w:rsidR="00AC3D5E" w:rsidRPr="00D6591B">
        <w:rPr>
          <w:szCs w:val="24"/>
        </w:rPr>
        <w:t xml:space="preserve"> à la majorité absolue des suffrages dans chaque groupe</w:t>
      </w:r>
      <w:r w:rsidR="00C31148" w:rsidRPr="00D6591B">
        <w:rPr>
          <w:szCs w:val="24"/>
        </w:rPr>
        <w:t xml:space="preserve"> linguistique (français et néerlandais) de l’Assemblée réunie (parlement)</w:t>
      </w:r>
      <w:r w:rsidR="00131EE1">
        <w:rPr>
          <w:rStyle w:val="Appelnotedebasdep"/>
          <w:szCs w:val="24"/>
        </w:rPr>
        <w:footnoteReference w:id="48"/>
      </w:r>
      <w:r w:rsidR="00C31148" w:rsidRPr="00D6591B">
        <w:rPr>
          <w:szCs w:val="24"/>
        </w:rPr>
        <w:t xml:space="preserve">. </w:t>
      </w:r>
      <w:r w:rsidR="009462FC">
        <w:rPr>
          <w:szCs w:val="24"/>
        </w:rPr>
        <w:t>Par ailleurs</w:t>
      </w:r>
      <w:r w:rsidR="00EB787C">
        <w:rPr>
          <w:szCs w:val="24"/>
        </w:rPr>
        <w:t>,</w:t>
      </w:r>
      <w:r w:rsidR="009462FC">
        <w:rPr>
          <w:szCs w:val="24"/>
        </w:rPr>
        <w:t xml:space="preserve"> les membres bruxellois du gouvernement de la Communauté française et du gouvernement flamand assistent avec voix consultatives aux réunions du collège</w:t>
      </w:r>
      <w:r w:rsidR="001D630F">
        <w:rPr>
          <w:szCs w:val="24"/>
        </w:rPr>
        <w:t xml:space="preserve"> (« gouvernement »)</w:t>
      </w:r>
      <w:r w:rsidR="009462FC">
        <w:rPr>
          <w:szCs w:val="24"/>
        </w:rPr>
        <w:t xml:space="preserve"> des Commissions communautaires française ou flamande</w:t>
      </w:r>
      <w:r w:rsidR="00273637">
        <w:rPr>
          <w:szCs w:val="24"/>
        </w:rPr>
        <w:t xml:space="preserve"> et participent </w:t>
      </w:r>
      <w:r w:rsidR="001D630F">
        <w:rPr>
          <w:szCs w:val="24"/>
        </w:rPr>
        <w:t xml:space="preserve">dans les mêmes conditions aux séances du Collège de la Commission communautaire commune. C’est donc la stricte parité entre néerlandophones et francophones au Collège de la COCOM et la double majorité à l’Assemblée (parlement) qui ont permis lors de la troisième </w:t>
      </w:r>
      <w:r w:rsidR="001D630F">
        <w:rPr>
          <w:szCs w:val="24"/>
        </w:rPr>
        <w:lastRenderedPageBreak/>
        <w:t>réforme de transférer les compétences personnalisables aux institutions bruxelloises et</w:t>
      </w:r>
      <w:r w:rsidR="00EB787C">
        <w:rPr>
          <w:szCs w:val="24"/>
        </w:rPr>
        <w:t xml:space="preserve"> de</w:t>
      </w:r>
      <w:r w:rsidR="001D630F">
        <w:rPr>
          <w:szCs w:val="24"/>
        </w:rPr>
        <w:t xml:space="preserve"> lever l’opposition des représentants flamands</w:t>
      </w:r>
      <w:r w:rsidR="001D630F">
        <w:rPr>
          <w:rStyle w:val="Appelnotedebasdep"/>
          <w:szCs w:val="24"/>
        </w:rPr>
        <w:footnoteReference w:id="49"/>
      </w:r>
      <w:r w:rsidR="001D630F">
        <w:rPr>
          <w:szCs w:val="24"/>
        </w:rPr>
        <w:t>.</w:t>
      </w:r>
    </w:p>
    <w:p w14:paraId="18DAB6F9" w14:textId="1C700D20" w:rsidR="00D6591B" w:rsidRPr="00A64223" w:rsidRDefault="00D6591B" w:rsidP="00D6591B">
      <w:pPr>
        <w:spacing w:after="120" w:line="360" w:lineRule="auto"/>
        <w:jc w:val="both"/>
      </w:pPr>
      <w:r w:rsidRPr="00D6591B">
        <w:rPr>
          <w:szCs w:val="24"/>
        </w:rPr>
        <w:t xml:space="preserve">Par contre, pour le secteur biculturel, c’est l’autorité </w:t>
      </w:r>
      <w:r w:rsidR="00ED23E4">
        <w:rPr>
          <w:szCs w:val="24"/>
        </w:rPr>
        <w:t>nationale</w:t>
      </w:r>
      <w:r w:rsidRPr="00D6591B">
        <w:rPr>
          <w:szCs w:val="24"/>
        </w:rPr>
        <w:t xml:space="preserve"> qui reste compétente à Bruxelles</w:t>
      </w:r>
      <w:r w:rsidRPr="00D6591B">
        <w:rPr>
          <w:color w:val="231F20"/>
          <w:szCs w:val="24"/>
          <w:shd w:val="clear" w:color="auto" w:fill="FFFFFF"/>
        </w:rPr>
        <w:t xml:space="preserve"> (Théâtre royal de la Monnaie, Palais des beaux-Arts, etc.)</w:t>
      </w:r>
      <w:r w:rsidRPr="00D6591B">
        <w:rPr>
          <w:rStyle w:val="Appelnotedebasdep"/>
          <w:color w:val="231F20"/>
          <w:szCs w:val="24"/>
          <w:shd w:val="clear" w:color="auto" w:fill="FFFFFF"/>
        </w:rPr>
        <w:footnoteReference w:id="50"/>
      </w:r>
      <w:r w:rsidRPr="00D6591B">
        <w:rPr>
          <w:color w:val="231F20"/>
          <w:szCs w:val="24"/>
          <w:shd w:val="clear" w:color="auto" w:fill="FFFFFF"/>
        </w:rPr>
        <w:t>.</w:t>
      </w:r>
    </w:p>
    <w:p w14:paraId="33B39A7A" w14:textId="77D8E8C0" w:rsidR="009318A9" w:rsidRDefault="009318A9" w:rsidP="009318A9">
      <w:pPr>
        <w:spacing w:after="120" w:line="360" w:lineRule="auto"/>
        <w:jc w:val="both"/>
      </w:pPr>
      <w:r>
        <w:t xml:space="preserve">Notons également que, depuis la réforme de 1989, la Région de Bruxelles-Capitale exerce également les compétences de l’Agglomération </w:t>
      </w:r>
      <w:r w:rsidR="00BF5C2B">
        <w:t>bruxelloise</w:t>
      </w:r>
      <w:r>
        <w:t xml:space="preserve"> (enlèvement et traitement des immondices, lutte contre l’incendie, aide médicale urgente, missions d’observation, de prévention et de coordination en matière de sécurité). L’Agglomération </w:t>
      </w:r>
      <w:r w:rsidR="00BF5C2B">
        <w:t>bruxelloise</w:t>
      </w:r>
      <w:r>
        <w:t xml:space="preserve"> n’a pas été formellement supprimée mais l’exercice de ses compétences </w:t>
      </w:r>
      <w:r w:rsidR="00D0705F">
        <w:t>a</w:t>
      </w:r>
      <w:r>
        <w:t xml:space="preserve"> été confié </w:t>
      </w:r>
      <w:r w:rsidR="00BF5C2B">
        <w:t xml:space="preserve">aux organes de </w:t>
      </w:r>
      <w:r>
        <w:t>la Région de Bruxelles-Capitale</w:t>
      </w:r>
      <w:r w:rsidR="00BF5C2B">
        <w:t>,</w:t>
      </w:r>
      <w:r>
        <w:t xml:space="preserve"> y compris son pouvoir fiscal (additionnels à l’impôt des personnes physiques, </w:t>
      </w:r>
      <w:r w:rsidR="00BF5C2B">
        <w:t xml:space="preserve">au </w:t>
      </w:r>
      <w:r>
        <w:t xml:space="preserve">précompte immobilier et </w:t>
      </w:r>
      <w:r w:rsidR="00BF5C2B">
        <w:t xml:space="preserve">à la </w:t>
      </w:r>
      <w:r>
        <w:t>taxe de circulation)</w:t>
      </w:r>
      <w:r w:rsidR="001A1730">
        <w:rPr>
          <w:rStyle w:val="Appelnotedebasdep"/>
        </w:rPr>
        <w:footnoteReference w:id="51"/>
      </w:r>
      <w:r>
        <w:t xml:space="preserve">. Depuis 1989, le modèle institutionnel belge est donc composé de </w:t>
      </w:r>
      <w:r w:rsidR="00BF5C2B">
        <w:t xml:space="preserve">trois </w:t>
      </w:r>
      <w:r w:rsidR="00D0705F">
        <w:t>C</w:t>
      </w:r>
      <w:r>
        <w:t xml:space="preserve">ommunautés, </w:t>
      </w:r>
      <w:r w:rsidR="00BF5C2B">
        <w:t xml:space="preserve">de trois </w:t>
      </w:r>
      <w:r>
        <w:t xml:space="preserve">Régions et </w:t>
      </w:r>
      <w:r w:rsidR="00BF5C2B">
        <w:t xml:space="preserve">de trois </w:t>
      </w:r>
      <w:r w:rsidR="00D0705F">
        <w:t>C</w:t>
      </w:r>
      <w:r>
        <w:t xml:space="preserve">ommissions communautaires </w:t>
      </w:r>
      <w:r w:rsidR="00BF5C2B">
        <w:t xml:space="preserve">(pour ces dernières, </w:t>
      </w:r>
      <w:r>
        <w:t>sur le territoire de la Région de Bruxelles-Capitale</w:t>
      </w:r>
      <w:r w:rsidR="00BF5C2B">
        <w:t>)</w:t>
      </w:r>
      <w:r>
        <w:t>.</w:t>
      </w:r>
    </w:p>
    <w:p w14:paraId="7F29D2DE" w14:textId="06900B8F" w:rsidR="00A55CD4" w:rsidRPr="00A414BE" w:rsidRDefault="00A55CD4" w:rsidP="00A72528">
      <w:pPr>
        <w:pStyle w:val="Titre2"/>
        <w:rPr>
          <w:shd w:val="clear" w:color="auto" w:fill="FFFFFF"/>
        </w:rPr>
      </w:pPr>
      <w:bookmarkStart w:id="8" w:name="_Toc96081443"/>
      <w:r w:rsidRPr="00A414BE">
        <w:rPr>
          <w:shd w:val="clear" w:color="auto" w:fill="FFFFFF"/>
        </w:rPr>
        <w:t>La réforme institutionnelle de 19</w:t>
      </w:r>
      <w:r>
        <w:rPr>
          <w:shd w:val="clear" w:color="auto" w:fill="FFFFFF"/>
        </w:rPr>
        <w:t>93</w:t>
      </w:r>
      <w:bookmarkEnd w:id="8"/>
    </w:p>
    <w:p w14:paraId="24914D98" w14:textId="6E0C4C8B" w:rsidR="005B39A3" w:rsidRDefault="00025608" w:rsidP="005B39A3">
      <w:pPr>
        <w:spacing w:after="120" w:line="360" w:lineRule="auto"/>
        <w:jc w:val="both"/>
      </w:pPr>
      <w:r w:rsidRPr="0066081E">
        <w:rPr>
          <w:b/>
          <w:bCs/>
        </w:rPr>
        <w:t>La réforme de 1993</w:t>
      </w:r>
      <w:r>
        <w:t xml:space="preserve"> achève la fédéralisation de l’Etat</w:t>
      </w:r>
      <w:r w:rsidR="00D0705F">
        <w:t xml:space="preserve"> en </w:t>
      </w:r>
      <w:r w:rsidR="009E4647">
        <w:t xml:space="preserve">réformant les assemblées fédérales, </w:t>
      </w:r>
      <w:r w:rsidR="00BF5C2B">
        <w:t xml:space="preserve">en </w:t>
      </w:r>
      <w:r w:rsidR="00D0705F">
        <w:t xml:space="preserve">organisant les élections directes des assemblées fédérées et en fixant le caractère fédéral de la Belgique dans la Constitution. </w:t>
      </w:r>
      <w:r>
        <w:t>Désormais les entités fédérées disposent, dans leur domaine de compétences d’un pouvoir identique à l’autorité fédérale</w:t>
      </w:r>
      <w:r w:rsidR="00BF5C2B">
        <w:t> :</w:t>
      </w:r>
      <w:r>
        <w:t xml:space="preserve"> autrement dit</w:t>
      </w:r>
      <w:r w:rsidR="00BF5C2B">
        <w:t>,</w:t>
      </w:r>
      <w:r>
        <w:t xml:space="preserve"> </w:t>
      </w:r>
      <w:r w:rsidR="00AC3D5E">
        <w:t xml:space="preserve">les </w:t>
      </w:r>
      <w:r>
        <w:t xml:space="preserve">décrets et les ordonnances </w:t>
      </w:r>
      <w:r w:rsidR="006A4D9B">
        <w:t xml:space="preserve">peuvent modifier, compléter ou abroger les </w:t>
      </w:r>
      <w:r>
        <w:t>lois ordinaires fédérales.</w:t>
      </w:r>
      <w:r w:rsidR="005B39A3">
        <w:t xml:space="preserve"> Cette réforme </w:t>
      </w:r>
      <w:r w:rsidR="005B39A3" w:rsidRPr="004D4E4A">
        <w:t>réaménag</w:t>
      </w:r>
      <w:r w:rsidR="005B39A3">
        <w:t>e</w:t>
      </w:r>
      <w:r w:rsidR="005B39A3" w:rsidRPr="004D4E4A">
        <w:t xml:space="preserve"> la répartition de</w:t>
      </w:r>
      <w:r w:rsidR="005B39A3">
        <w:t xml:space="preserve"> certaines</w:t>
      </w:r>
      <w:r w:rsidR="005B39A3" w:rsidRPr="004D4E4A">
        <w:t xml:space="preserve"> compétences entre l'</w:t>
      </w:r>
      <w:r w:rsidR="00755112">
        <w:t>a</w:t>
      </w:r>
      <w:r w:rsidR="00BE76D1">
        <w:t>utorité fédérale</w:t>
      </w:r>
      <w:r w:rsidR="005B39A3" w:rsidRPr="004D4E4A">
        <w:t xml:space="preserve"> et les entités fédérées (les relations internationales, l’environnement, le commerce extérieur, la politique</w:t>
      </w:r>
      <w:r w:rsidR="005B39A3">
        <w:t xml:space="preserve"> scientifique et l’agriculture)</w:t>
      </w:r>
      <w:r w:rsidR="00A00184">
        <w:t xml:space="preserve">, revoit certains mécanismes d’évolution des moyens </w:t>
      </w:r>
      <w:r w:rsidR="005B39A3">
        <w:t>et attribu</w:t>
      </w:r>
      <w:r w:rsidR="00D0705F">
        <w:t>e</w:t>
      </w:r>
      <w:r w:rsidR="005B39A3" w:rsidRPr="004D4E4A">
        <w:t xml:space="preserve"> des moyens complémentaires aux Communautés et aux Régions.</w:t>
      </w:r>
      <w:r w:rsidR="004D2307">
        <w:t xml:space="preserve"> </w:t>
      </w:r>
      <w:r w:rsidR="004D2307" w:rsidRPr="004D4E4A">
        <w:t>Désormais, la masse budgétaire gérée par les Communautés et Régions est évaluée à 40% du budget national</w:t>
      </w:r>
      <w:r w:rsidR="004D2307" w:rsidRPr="004D4E4A">
        <w:rPr>
          <w:rStyle w:val="Appelnotedebasdep"/>
        </w:rPr>
        <w:footnoteReference w:id="52"/>
      </w:r>
      <w:r w:rsidR="004D2307" w:rsidRPr="004D4E4A">
        <w:t>.</w:t>
      </w:r>
    </w:p>
    <w:p w14:paraId="429FB683" w14:textId="2D4323E9" w:rsidR="004D46F2" w:rsidRDefault="004D46F2" w:rsidP="005B39A3">
      <w:pPr>
        <w:spacing w:after="120" w:line="360" w:lineRule="auto"/>
        <w:jc w:val="both"/>
      </w:pPr>
      <w:r>
        <w:t xml:space="preserve">La réforme de 1993 </w:t>
      </w:r>
      <w:r w:rsidR="00A00184">
        <w:t>organise également</w:t>
      </w:r>
      <w:r>
        <w:t xml:space="preserve"> la scission de la province de Brabant qui s’étendait sur les trois régions</w:t>
      </w:r>
      <w:r w:rsidR="006A4D9B">
        <w:t xml:space="preserve"> linguistiques</w:t>
      </w:r>
      <w:r>
        <w:t xml:space="preserve">. La scission de </w:t>
      </w:r>
      <w:r w:rsidR="00BF5C2B">
        <w:t xml:space="preserve">cette </w:t>
      </w:r>
      <w:r>
        <w:t>province en</w:t>
      </w:r>
      <w:r w:rsidR="00BF5C2B">
        <w:t xml:space="preserve"> deux provinces distinctes (</w:t>
      </w:r>
      <w:r>
        <w:t>Brabant wallon et en Brabant flamand</w:t>
      </w:r>
      <w:r w:rsidR="00BF5C2B">
        <w:t>)</w:t>
      </w:r>
      <w:r>
        <w:t xml:space="preserve"> porta le nombre de provinces </w:t>
      </w:r>
      <w:r w:rsidR="00BF5C2B">
        <w:t xml:space="preserve">belges </w:t>
      </w:r>
      <w:r>
        <w:t xml:space="preserve">de neuf à dix. La Région de </w:t>
      </w:r>
      <w:r>
        <w:lastRenderedPageBreak/>
        <w:t xml:space="preserve">Bruxelles-Capitale est soustraite </w:t>
      </w:r>
      <w:r w:rsidR="00BF5C2B">
        <w:t xml:space="preserve">à </w:t>
      </w:r>
      <w:r>
        <w:t>la division provinciale tant il apparaissait absurde d’y créer une nouvelle province qui n’aurait fait que se superposer, sur le territoire des dix-neuf communes</w:t>
      </w:r>
      <w:r w:rsidR="00BF5C2B">
        <w:t xml:space="preserve"> bruxelloises</w:t>
      </w:r>
      <w:r>
        <w:t xml:space="preserve">, aux institutions régionales existantes. Les compétences de l’ancienne province de Brabant ont été redistribuées </w:t>
      </w:r>
      <w:r w:rsidR="00BF5C2B">
        <w:t xml:space="preserve">au profit des </w:t>
      </w:r>
      <w:r>
        <w:t>institutions bruxelloises existantes en fonction de leur nature mono</w:t>
      </w:r>
      <w:r w:rsidR="006A4D9B">
        <w:t>-</w:t>
      </w:r>
      <w:r>
        <w:t xml:space="preserve"> ou </w:t>
      </w:r>
      <w:proofErr w:type="spellStart"/>
      <w:r>
        <w:t>bi-communautaire</w:t>
      </w:r>
      <w:proofErr w:type="spellEnd"/>
      <w:r>
        <w:t xml:space="preserve"> quand il s’agissait de matières communautaires </w:t>
      </w:r>
      <w:r w:rsidR="006E62B7">
        <w:t>(culture, enseignement</w:t>
      </w:r>
      <w:r w:rsidR="00F50BAA">
        <w:t xml:space="preserve">) </w:t>
      </w:r>
      <w:r>
        <w:t>et à la Région de Bruxelles</w:t>
      </w:r>
      <w:r w:rsidR="006E0693">
        <w:t>-Capitale</w:t>
      </w:r>
      <w:r>
        <w:t xml:space="preserve"> lorsqu’il s’agissait de matière</w:t>
      </w:r>
      <w:r w:rsidR="00BF5C2B">
        <w:t>s</w:t>
      </w:r>
      <w:r>
        <w:t xml:space="preserve"> économique</w:t>
      </w:r>
      <w:r w:rsidR="00BF5C2B">
        <w:t>s</w:t>
      </w:r>
      <w:r>
        <w:t xml:space="preserve"> ou social</w:t>
      </w:r>
      <w:r w:rsidR="00392843">
        <w:t>e</w:t>
      </w:r>
      <w:r w:rsidR="00BF5C2B">
        <w:t>s</w:t>
      </w:r>
      <w:r>
        <w:t xml:space="preserve"> ou touchant à l’intérêt général</w:t>
      </w:r>
      <w:r w:rsidR="00AF09B9">
        <w:rPr>
          <w:rStyle w:val="Appelnotedebasdep"/>
        </w:rPr>
        <w:footnoteReference w:id="53"/>
      </w:r>
      <w:r>
        <w:t>.</w:t>
      </w:r>
      <w:r w:rsidR="00AF09B9">
        <w:t xml:space="preserve"> La Région de Bruxelles-Capitale </w:t>
      </w:r>
      <w:r w:rsidR="00E11C91">
        <w:t>dispose également d’un régime spécifique en matière de fiscalité puisque, suite à la scission de la province de Brabant, elle a repris les taxes provinciales en son nom propre en tant que taxes régionales.</w:t>
      </w:r>
    </w:p>
    <w:p w14:paraId="152D21F8" w14:textId="4D03E5B0" w:rsidR="00A55CD4" w:rsidRPr="00A414BE" w:rsidRDefault="00A55CD4" w:rsidP="00A72528">
      <w:pPr>
        <w:pStyle w:val="Titre2"/>
        <w:rPr>
          <w:shd w:val="clear" w:color="auto" w:fill="FFFFFF"/>
        </w:rPr>
      </w:pPr>
      <w:bookmarkStart w:id="9" w:name="_Toc96081444"/>
      <w:r w:rsidRPr="00A414BE">
        <w:rPr>
          <w:shd w:val="clear" w:color="auto" w:fill="FFFFFF"/>
        </w:rPr>
        <w:t xml:space="preserve">La réforme institutionnelle de </w:t>
      </w:r>
      <w:r>
        <w:rPr>
          <w:shd w:val="clear" w:color="auto" w:fill="FFFFFF"/>
        </w:rPr>
        <w:t>2001</w:t>
      </w:r>
      <w:bookmarkEnd w:id="9"/>
    </w:p>
    <w:p w14:paraId="0450D98B" w14:textId="15DDA847" w:rsidR="00446862" w:rsidRDefault="00025608" w:rsidP="00446862">
      <w:pPr>
        <w:spacing w:after="120" w:line="360" w:lineRule="auto"/>
        <w:jc w:val="both"/>
        <w:rPr>
          <w:rFonts w:ascii="Arial" w:hAnsi="Arial" w:cs="Arial"/>
          <w:color w:val="555555"/>
          <w:sz w:val="22"/>
          <w:szCs w:val="22"/>
          <w:shd w:val="clear" w:color="auto" w:fill="FAFAFA"/>
        </w:rPr>
      </w:pPr>
      <w:r w:rsidRPr="0066081E">
        <w:rPr>
          <w:b/>
          <w:bCs/>
        </w:rPr>
        <w:t>La réforme de 2001</w:t>
      </w:r>
      <w:r w:rsidR="0034029A">
        <w:rPr>
          <w:rStyle w:val="Appelnotedebasdep"/>
          <w:b/>
          <w:bCs/>
        </w:rPr>
        <w:footnoteReference w:id="54"/>
      </w:r>
      <w:r>
        <w:t xml:space="preserve"> se traduit principalement par un transfert de nouvelles compétences aux entités fédérées</w:t>
      </w:r>
      <w:r w:rsidR="005B39A3">
        <w:t xml:space="preserve"> (politique agricole et pêche, commerce extérieur et pouvoirs locaux</w:t>
      </w:r>
      <w:r w:rsidR="0066081E">
        <w:rPr>
          <w:rStyle w:val="Appelnotedebasdep"/>
        </w:rPr>
        <w:footnoteReference w:id="55"/>
      </w:r>
      <w:r w:rsidR="005B39A3">
        <w:t>)</w:t>
      </w:r>
      <w:r>
        <w:t xml:space="preserve">, un refinancement </w:t>
      </w:r>
      <w:r w:rsidR="00446862">
        <w:t xml:space="preserve">structurel </w:t>
      </w:r>
      <w:r>
        <w:t>des Communautés</w:t>
      </w:r>
      <w:r w:rsidR="006C5117">
        <w:t xml:space="preserve"> (un montant supplémentaire de plus d’un milliard </w:t>
      </w:r>
      <w:r w:rsidR="00BF5C2B">
        <w:t xml:space="preserve">d’euros </w:t>
      </w:r>
      <w:r w:rsidR="006C5117">
        <w:t>et une indexation des moyens à la croissance économique)</w:t>
      </w:r>
      <w:r>
        <w:t xml:space="preserve"> et un accroissement de l’autonomie fiscale des Régions</w:t>
      </w:r>
      <w:r w:rsidR="006C5117">
        <w:t xml:space="preserve"> </w:t>
      </w:r>
      <w:r w:rsidR="00DE05D0">
        <w:t xml:space="preserve">sous la forme d’impôts </w:t>
      </w:r>
      <w:r w:rsidR="00BF5C2B">
        <w:t xml:space="preserve">régionalisés </w:t>
      </w:r>
      <w:r w:rsidR="006C5117">
        <w:t>(près de 3,5 milliards €)</w:t>
      </w:r>
      <w:r w:rsidR="00DE05D0">
        <w:t xml:space="preserve"> et d’</w:t>
      </w:r>
      <w:r w:rsidR="00BF5C2B">
        <w:t>une décentralisation accrue de l’</w:t>
      </w:r>
      <w:r w:rsidR="00DE05D0">
        <w:t>impôt des personnes physiques</w:t>
      </w:r>
      <w:r w:rsidR="006A4D9B">
        <w:t xml:space="preserve"> (possibilité</w:t>
      </w:r>
      <w:r w:rsidR="00BF5C2B">
        <w:t>, pour les Régions,</w:t>
      </w:r>
      <w:r w:rsidR="006A4D9B">
        <w:t xml:space="preserve"> d’imposer des additionnels ou soustractionnels à l’impôt des personnes physiques fédéral)</w:t>
      </w:r>
      <w:r>
        <w:t xml:space="preserve">. </w:t>
      </w:r>
      <w:r w:rsidR="00267446">
        <w:t xml:space="preserve">Sans modifier les principes de base de la loi du 16 janvier 1989, cette </w:t>
      </w:r>
      <w:r w:rsidR="006B5583">
        <w:rPr>
          <w:spacing w:val="4"/>
        </w:rPr>
        <w:t xml:space="preserve">réforme traduisait le souci d’un équilibre de compromis entre le Nord et le Sud du pays </w:t>
      </w:r>
      <w:r w:rsidR="006B5583" w:rsidRPr="004D4E4A">
        <w:rPr>
          <w:spacing w:val="4"/>
        </w:rPr>
        <w:t xml:space="preserve">: la Région flamande </w:t>
      </w:r>
      <w:r w:rsidR="006B5583">
        <w:rPr>
          <w:spacing w:val="4"/>
        </w:rPr>
        <w:t xml:space="preserve">obtenait une </w:t>
      </w:r>
      <w:r w:rsidR="006B5583" w:rsidRPr="004D4E4A">
        <w:rPr>
          <w:spacing w:val="1"/>
        </w:rPr>
        <w:t>autonomie fiscale</w:t>
      </w:r>
      <w:r w:rsidR="006B5583">
        <w:rPr>
          <w:spacing w:val="1"/>
        </w:rPr>
        <w:t xml:space="preserve"> accrue au profit des Régions</w:t>
      </w:r>
      <w:r w:rsidR="00DE05D0">
        <w:rPr>
          <w:spacing w:val="1"/>
        </w:rPr>
        <w:t xml:space="preserve"> et</w:t>
      </w:r>
      <w:r w:rsidR="006B5583" w:rsidRPr="004D4E4A">
        <w:rPr>
          <w:spacing w:val="1"/>
        </w:rPr>
        <w:t xml:space="preserve"> la Communauté française </w:t>
      </w:r>
      <w:r w:rsidR="006B5583">
        <w:rPr>
          <w:spacing w:val="1"/>
        </w:rPr>
        <w:t>bénéficiait d’un refinancement (qui profitait également, par la force des choses, à la Communauté flamande)</w:t>
      </w:r>
      <w:r w:rsidR="006B5583" w:rsidRPr="004D4E4A">
        <w:rPr>
          <w:spacing w:val="1"/>
        </w:rPr>
        <w:t xml:space="preserve">. </w:t>
      </w:r>
      <w:r>
        <w:t xml:space="preserve">Cette réforme renforce </w:t>
      </w:r>
      <w:r w:rsidR="00267446">
        <w:t xml:space="preserve">et refinance </w:t>
      </w:r>
      <w:r>
        <w:t>également les commissions communautaires à Bruxelles. En particulier, la Commission communautaire française obtient la capacité de contracter des emprunt</w:t>
      </w:r>
      <w:r w:rsidR="006A4D9B">
        <w:t>s.</w:t>
      </w:r>
    </w:p>
    <w:p w14:paraId="1BBD2AC4" w14:textId="2CD79C32" w:rsidR="001514A7" w:rsidRDefault="001514A7" w:rsidP="00446862">
      <w:pPr>
        <w:spacing w:after="120" w:line="360" w:lineRule="auto"/>
        <w:jc w:val="both"/>
      </w:pPr>
      <w:r>
        <w:t xml:space="preserve">Notons enfin, qu’en novembre 1998, la Région de Bruxelles-Capitale </w:t>
      </w:r>
      <w:r w:rsidR="00BF5C2B">
        <w:t xml:space="preserve">a connu </w:t>
      </w:r>
      <w:r>
        <w:t>une crise politique importante suite à la démission du Secrétaire d’Etat flamand</w:t>
      </w:r>
      <w:r w:rsidR="00BF5C2B">
        <w:t>,</w:t>
      </w:r>
      <w:r>
        <w:t xml:space="preserve"> ce qui priva le </w:t>
      </w:r>
      <w:r w:rsidR="00BF5C2B">
        <w:t xml:space="preserve">Gouvernement </w:t>
      </w:r>
      <w:r>
        <w:t>de la majorité dans le groupe linguistique flamand du parlement, au Collège de la Commission communautaire flamande et au Collège de la COCOM. L’accord du Lombard du 29 avril 2001</w:t>
      </w:r>
      <w:r w:rsidR="00E767CC">
        <w:rPr>
          <w:rStyle w:val="Appelnotedebasdep"/>
        </w:rPr>
        <w:footnoteReference w:id="56"/>
      </w:r>
      <w:r>
        <w:t xml:space="preserve"> </w:t>
      </w:r>
      <w:r>
        <w:lastRenderedPageBreak/>
        <w:t xml:space="preserve">issu des </w:t>
      </w:r>
      <w:r w:rsidR="000130DB">
        <w:t xml:space="preserve">travaux du groupe de travail sur le fonctionnement des institutions bruxelloises a été intégré dans la réforme de 2001. Il visait </w:t>
      </w:r>
      <w:r w:rsidR="0037536E">
        <w:t xml:space="preserve">à </w:t>
      </w:r>
      <w:r w:rsidR="000130DB">
        <w:t xml:space="preserve">trouver des solutions au bon fonctionnement des institutions bruxelloises, à empêcher leur blocage éventuel et </w:t>
      </w:r>
      <w:r w:rsidR="0037536E">
        <w:t xml:space="preserve">à </w:t>
      </w:r>
      <w:r w:rsidR="000130DB">
        <w:t>organiser une meilleure représentation du groupe linguistique flamand au Parlement bruxellois. Cela s’est notamment traduit par une augmentation du nombre de parlementaires au Parlement bruxellois à 89 (contre 75 membres dans les autres parlements régionaux)</w:t>
      </w:r>
      <w:r w:rsidR="00C90E59">
        <w:t xml:space="preserve"> et une répartition des sièges entre francophones et néerlandophones prédéterminée : 72 sièges pour le groupe linguistiques français et 17 pour le groupe linguistique flamand. Auparavant, cette répartition était liée au nombre de voix portées sur les listes francophones et néerlandophones. Un autre élément important </w:t>
      </w:r>
      <w:r w:rsidR="0037536E">
        <w:t>consiste en l’introduction d’</w:t>
      </w:r>
      <w:r w:rsidR="00C90E59">
        <w:t xml:space="preserve">une </w:t>
      </w:r>
      <w:r w:rsidR="006A4D9B">
        <w:t>élection</w:t>
      </w:r>
      <w:r w:rsidR="00C90E59">
        <w:t xml:space="preserve"> directe des Flamands de Bruxelles au Parlement flamand (contrairement aux francophones de Bruxelles au Parlement de la Communauté française)</w:t>
      </w:r>
      <w:r w:rsidR="00C90E59">
        <w:rPr>
          <w:rStyle w:val="Appelnotedebasdep"/>
        </w:rPr>
        <w:footnoteReference w:id="57"/>
      </w:r>
      <w:r w:rsidR="00C90E59">
        <w:t xml:space="preserve">. </w:t>
      </w:r>
    </w:p>
    <w:p w14:paraId="40C7AC4E" w14:textId="5163D982" w:rsidR="00A55CD4" w:rsidRPr="00A414BE" w:rsidRDefault="00A55CD4" w:rsidP="00A72528">
      <w:pPr>
        <w:pStyle w:val="Titre2"/>
        <w:rPr>
          <w:shd w:val="clear" w:color="auto" w:fill="FFFFFF"/>
        </w:rPr>
      </w:pPr>
      <w:bookmarkStart w:id="10" w:name="_Toc96081445"/>
      <w:r w:rsidRPr="00A414BE">
        <w:rPr>
          <w:shd w:val="clear" w:color="auto" w:fill="FFFFFF"/>
        </w:rPr>
        <w:t xml:space="preserve">La réforme institutionnelle de </w:t>
      </w:r>
      <w:r>
        <w:rPr>
          <w:shd w:val="clear" w:color="auto" w:fill="FFFFFF"/>
        </w:rPr>
        <w:t>2014-2015</w:t>
      </w:r>
      <w:bookmarkEnd w:id="10"/>
    </w:p>
    <w:p w14:paraId="764270E1" w14:textId="298F8095" w:rsidR="00B52242" w:rsidRDefault="006B5583" w:rsidP="00446862">
      <w:pPr>
        <w:spacing w:after="120" w:line="360" w:lineRule="auto"/>
        <w:jc w:val="both"/>
        <w:rPr>
          <w:lang w:val="fr-FR" w:bidi="he-IL"/>
        </w:rPr>
      </w:pPr>
      <w:r>
        <w:t xml:space="preserve">Cinq réformes de l’Etat successives ont </w:t>
      </w:r>
      <w:r w:rsidR="0037536E">
        <w:t xml:space="preserve">donc </w:t>
      </w:r>
      <w:r>
        <w:t>permis la transformation d’une organisation étatique initialement centralisée en une structure fédérale</w:t>
      </w:r>
      <w:r w:rsidR="0037536E">
        <w:t>,</w:t>
      </w:r>
      <w:r w:rsidR="00DE05D0">
        <w:t xml:space="preserve"> mais cette </w:t>
      </w:r>
      <w:r w:rsidR="0037536E">
        <w:rPr>
          <w:szCs w:val="24"/>
        </w:rPr>
        <w:t xml:space="preserve">nouvelle configuration </w:t>
      </w:r>
      <w:r>
        <w:rPr>
          <w:szCs w:val="24"/>
        </w:rPr>
        <w:t xml:space="preserve">institutionnelle n’a pas </w:t>
      </w:r>
      <w:r w:rsidR="00DE05D0">
        <w:rPr>
          <w:szCs w:val="24"/>
        </w:rPr>
        <w:t>permis d’</w:t>
      </w:r>
      <w:r>
        <w:rPr>
          <w:szCs w:val="24"/>
        </w:rPr>
        <w:t>apais</w:t>
      </w:r>
      <w:r w:rsidR="00DE05D0">
        <w:rPr>
          <w:szCs w:val="24"/>
        </w:rPr>
        <w:t>er</w:t>
      </w:r>
      <w:r w:rsidRPr="00CB29E5">
        <w:rPr>
          <w:szCs w:val="24"/>
        </w:rPr>
        <w:t xml:space="preserve"> les tensions communautaires</w:t>
      </w:r>
      <w:r w:rsidR="00DE05D0">
        <w:rPr>
          <w:szCs w:val="24"/>
        </w:rPr>
        <w:t xml:space="preserve">. </w:t>
      </w:r>
      <w:r w:rsidRPr="000314D3">
        <w:rPr>
          <w:szCs w:val="24"/>
        </w:rPr>
        <w:t xml:space="preserve">Après une crise profonde des institutions belges, le 10 octobre 2011, un accord institutionnel intitulé </w:t>
      </w:r>
      <w:r>
        <w:rPr>
          <w:szCs w:val="24"/>
        </w:rPr>
        <w:t>« </w:t>
      </w:r>
      <w:r w:rsidRPr="000314D3">
        <w:rPr>
          <w:szCs w:val="24"/>
        </w:rPr>
        <w:t>Un État fédéral plus efficace et des entités plus autonomes</w:t>
      </w:r>
      <w:r>
        <w:rPr>
          <w:szCs w:val="24"/>
        </w:rPr>
        <w:t> » a renforcé encore le processus de décentralisation.</w:t>
      </w:r>
      <w:r w:rsidRPr="000314D3">
        <w:rPr>
          <w:szCs w:val="24"/>
        </w:rPr>
        <w:t xml:space="preserve"> </w:t>
      </w:r>
      <w:r>
        <w:rPr>
          <w:szCs w:val="24"/>
        </w:rPr>
        <w:t xml:space="preserve">La concrétisation de cet accord a donné lieu à la </w:t>
      </w:r>
      <w:r w:rsidRPr="00E321E2">
        <w:rPr>
          <w:b/>
          <w:bCs/>
          <w:szCs w:val="24"/>
        </w:rPr>
        <w:t>sixième réforme de l’Etat</w:t>
      </w:r>
      <w:r>
        <w:rPr>
          <w:szCs w:val="24"/>
        </w:rPr>
        <w:t>, impliquant un transfert important de nouvelles compétences vers les entités fédérées (à partir du 1</w:t>
      </w:r>
      <w:r w:rsidRPr="00A24B81">
        <w:rPr>
          <w:szCs w:val="24"/>
          <w:vertAlign w:val="superscript"/>
        </w:rPr>
        <w:t>er</w:t>
      </w:r>
      <w:r>
        <w:rPr>
          <w:szCs w:val="24"/>
        </w:rPr>
        <w:t xml:space="preserve"> juillet 2014) et une réforme en profondeur des mécanismes de financement de l’Etat fédéral dans son ensemble (à partir du 1</w:t>
      </w:r>
      <w:r w:rsidRPr="00A24B81">
        <w:rPr>
          <w:szCs w:val="24"/>
          <w:vertAlign w:val="superscript"/>
        </w:rPr>
        <w:t>er</w:t>
      </w:r>
      <w:r>
        <w:rPr>
          <w:szCs w:val="24"/>
        </w:rPr>
        <w:t xml:space="preserve"> janvier 2015)</w:t>
      </w:r>
      <w:r w:rsidR="0037536E">
        <w:rPr>
          <w:szCs w:val="24"/>
        </w:rPr>
        <w:t>,</w:t>
      </w:r>
      <w:r w:rsidR="00267446">
        <w:rPr>
          <w:szCs w:val="24"/>
        </w:rPr>
        <w:t xml:space="preserve"> mais toujours sur la base de la loi </w:t>
      </w:r>
      <w:r w:rsidR="0037536E">
        <w:rPr>
          <w:szCs w:val="24"/>
        </w:rPr>
        <w:t xml:space="preserve">spéciale </w:t>
      </w:r>
      <w:r w:rsidR="00267446">
        <w:rPr>
          <w:szCs w:val="24"/>
        </w:rPr>
        <w:t>du 16 janvier 1989</w:t>
      </w:r>
      <w:r w:rsidR="0037536E">
        <w:rPr>
          <w:szCs w:val="24"/>
        </w:rPr>
        <w:t xml:space="preserve"> relative au financement des Communautés et des Régions</w:t>
      </w:r>
      <w:r w:rsidRPr="00CB29E5">
        <w:rPr>
          <w:szCs w:val="24"/>
        </w:rPr>
        <w:t>.</w:t>
      </w:r>
      <w:r>
        <w:rPr>
          <w:szCs w:val="24"/>
        </w:rPr>
        <w:t xml:space="preserve"> Cette réforme</w:t>
      </w:r>
      <w:r w:rsidRPr="00E04A48">
        <w:t xml:space="preserve"> </w:t>
      </w:r>
      <w:r>
        <w:t>a véritablement déplacé</w:t>
      </w:r>
      <w:r w:rsidRPr="00E04A48">
        <w:t xml:space="preserve"> le centre de gravité des politiques publiques, de l’</w:t>
      </w:r>
      <w:r>
        <w:t xml:space="preserve">Etat </w:t>
      </w:r>
      <w:r w:rsidRPr="00E04A48">
        <w:t xml:space="preserve">fédéral vers les entités fédérées, par </w:t>
      </w:r>
      <w:r>
        <w:t>le biais d’</w:t>
      </w:r>
      <w:r w:rsidRPr="00E04A48">
        <w:t xml:space="preserve">un transfert de compétences </w:t>
      </w:r>
      <w:r>
        <w:t>de plus de</w:t>
      </w:r>
      <w:r w:rsidRPr="00E04A48">
        <w:t xml:space="preserve"> </w:t>
      </w:r>
      <w:r>
        <w:t>20</w:t>
      </w:r>
      <w:r w:rsidRPr="00E04A48">
        <w:t xml:space="preserve"> milliards </w:t>
      </w:r>
      <w:r>
        <w:t>€ et un accroissement sensible de l’autonomie fiscale des Régions. Elle a augmenté</w:t>
      </w:r>
      <w:r w:rsidRPr="00E04A48">
        <w:t xml:space="preserve"> </w:t>
      </w:r>
      <w:r>
        <w:t xml:space="preserve">ainsi </w:t>
      </w:r>
      <w:r w:rsidRPr="00E04A48">
        <w:t xml:space="preserve">les </w:t>
      </w:r>
      <w:r>
        <w:t>ressources</w:t>
      </w:r>
      <w:r w:rsidRPr="00E04A48">
        <w:t xml:space="preserve"> </w:t>
      </w:r>
      <w:r>
        <w:t xml:space="preserve">transférées aux entités fédérées </w:t>
      </w:r>
      <w:r w:rsidRPr="00A72079">
        <w:t xml:space="preserve">de </w:t>
      </w:r>
      <w:r>
        <w:t xml:space="preserve">plus de 36%. </w:t>
      </w:r>
      <w:r>
        <w:rPr>
          <w:lang w:val="fr-FR" w:bidi="he-IL"/>
        </w:rPr>
        <w:t>Entre 2014 et 2015 (budget initial), les moyens attribués par l’Etat fédéral aux Régions ont augmenté de plus de 21% et ceux des Communautés de près de 50%</w:t>
      </w:r>
      <w:r w:rsidR="009851FA">
        <w:rPr>
          <w:rStyle w:val="Appelnotedebasdep"/>
          <w:lang w:val="fr-FR" w:bidi="he-IL"/>
        </w:rPr>
        <w:footnoteReference w:id="58"/>
      </w:r>
      <w:r w:rsidR="00446862">
        <w:rPr>
          <w:lang w:val="fr-FR" w:bidi="he-IL"/>
        </w:rPr>
        <w:t>.</w:t>
      </w:r>
    </w:p>
    <w:p w14:paraId="43BFA5FB" w14:textId="5E5569B6" w:rsidR="00446862" w:rsidRDefault="00B52242" w:rsidP="00446862">
      <w:pPr>
        <w:spacing w:after="120" w:line="360" w:lineRule="auto"/>
        <w:jc w:val="both"/>
        <w:rPr>
          <w:lang w:val="fr-FR" w:bidi="he-IL"/>
        </w:rPr>
      </w:pPr>
      <w:r w:rsidRPr="00B52242">
        <w:rPr>
          <w:szCs w:val="24"/>
        </w:rPr>
        <w:lastRenderedPageBreak/>
        <w:t>Il est important de souligner que les plus importants transferts de compétences proviennent de la sécurité sociale</w:t>
      </w:r>
      <w:r>
        <w:rPr>
          <w:rStyle w:val="Appelnotedebasdep"/>
          <w:szCs w:val="24"/>
        </w:rPr>
        <w:footnoteReference w:id="59"/>
      </w:r>
      <w:r w:rsidRPr="00B52242">
        <w:rPr>
          <w:szCs w:val="24"/>
        </w:rPr>
        <w:t xml:space="preserve">. Ces compétences sont principalement dévolues aux Communautés </w:t>
      </w:r>
      <w:r w:rsidRPr="00E04A48">
        <w:t>et</w:t>
      </w:r>
      <w:r>
        <w:t>,</w:t>
      </w:r>
      <w:r w:rsidRPr="00E04A48">
        <w:t xml:space="preserve"> pour certaines</w:t>
      </w:r>
      <w:r>
        <w:t>,</w:t>
      </w:r>
      <w:r w:rsidRPr="00E04A48">
        <w:t xml:space="preserve"> à la COCOM à Bruxelles, qui </w:t>
      </w:r>
      <w:r w:rsidRPr="00B52242">
        <w:rPr>
          <w:szCs w:val="24"/>
        </w:rPr>
        <w:t xml:space="preserve">sont des institutions dépourvues, de droit (COCOM) ou de fait (Communautés), de tout pouvoir fiscal. Les matières transférées aux Communautés concernent </w:t>
      </w:r>
      <w:r>
        <w:rPr>
          <w:szCs w:val="24"/>
        </w:rPr>
        <w:t xml:space="preserve">les </w:t>
      </w:r>
      <w:r w:rsidRPr="00B52242">
        <w:rPr>
          <w:szCs w:val="24"/>
        </w:rPr>
        <w:t>allocations familiales,</w:t>
      </w:r>
      <w:r>
        <w:rPr>
          <w:szCs w:val="24"/>
        </w:rPr>
        <w:t xml:space="preserve"> les</w:t>
      </w:r>
      <w:r w:rsidRPr="00B52242">
        <w:rPr>
          <w:szCs w:val="24"/>
        </w:rPr>
        <w:t xml:space="preserve"> soins de santé et </w:t>
      </w:r>
      <w:r>
        <w:rPr>
          <w:szCs w:val="24"/>
        </w:rPr>
        <w:t>l’</w:t>
      </w:r>
      <w:r w:rsidRPr="00B52242">
        <w:rPr>
          <w:szCs w:val="24"/>
        </w:rPr>
        <w:t xml:space="preserve">aide aux personnes (maisons de repos, maisons de soins, aides à la mobilité et aux personnes âgées, etc.), </w:t>
      </w:r>
      <w:r>
        <w:rPr>
          <w:szCs w:val="24"/>
        </w:rPr>
        <w:t xml:space="preserve">les </w:t>
      </w:r>
      <w:r w:rsidRPr="00B52242">
        <w:rPr>
          <w:szCs w:val="24"/>
        </w:rPr>
        <w:t xml:space="preserve">hôpitaux (normes d’agrément, construction et rénovation), </w:t>
      </w:r>
      <w:r>
        <w:rPr>
          <w:szCs w:val="24"/>
        </w:rPr>
        <w:t xml:space="preserve">les </w:t>
      </w:r>
      <w:r w:rsidRPr="00B52242">
        <w:rPr>
          <w:szCs w:val="24"/>
        </w:rPr>
        <w:t>soins de santé mentale,</w:t>
      </w:r>
      <w:r w:rsidR="00B452A4">
        <w:rPr>
          <w:szCs w:val="24"/>
        </w:rPr>
        <w:t xml:space="preserve"> la</w:t>
      </w:r>
      <w:r w:rsidRPr="00B52242">
        <w:rPr>
          <w:szCs w:val="24"/>
        </w:rPr>
        <w:t xml:space="preserve"> politique de prévention, </w:t>
      </w:r>
      <w:r w:rsidR="00B452A4">
        <w:rPr>
          <w:szCs w:val="24"/>
        </w:rPr>
        <w:t>l’</w:t>
      </w:r>
      <w:r w:rsidRPr="00B52242">
        <w:rPr>
          <w:szCs w:val="24"/>
        </w:rPr>
        <w:t xml:space="preserve">organisation des soins de santé de première ligne, </w:t>
      </w:r>
      <w:r w:rsidR="00B452A4">
        <w:rPr>
          <w:szCs w:val="24"/>
        </w:rPr>
        <w:t>l’</w:t>
      </w:r>
      <w:r w:rsidRPr="00B52242">
        <w:rPr>
          <w:szCs w:val="24"/>
        </w:rPr>
        <w:t>aide juridique</w:t>
      </w:r>
      <w:r w:rsidR="00B452A4">
        <w:rPr>
          <w:szCs w:val="24"/>
        </w:rPr>
        <w:t xml:space="preserve"> et les </w:t>
      </w:r>
      <w:r w:rsidRPr="00B52242">
        <w:rPr>
          <w:szCs w:val="24"/>
        </w:rPr>
        <w:t>pôles d’attraction interuniversitaire</w:t>
      </w:r>
      <w:r>
        <w:rPr>
          <w:lang w:val="fr-FR" w:bidi="he-IL"/>
        </w:rPr>
        <w:t xml:space="preserve">. Les Régions reçoivent de nouvelles compétences en matière </w:t>
      </w:r>
      <w:r w:rsidR="00EB787C">
        <w:rPr>
          <w:lang w:val="fr-FR" w:bidi="he-IL"/>
        </w:rPr>
        <w:t>d’</w:t>
      </w:r>
      <w:r>
        <w:rPr>
          <w:szCs w:val="24"/>
        </w:rPr>
        <w:t>emploi (le contrôle des demandeurs d’emploi, y compris l’exécution des sanctions, les études et la formation des demandeurs d’emploi, certaines réductions de cotisations sociales (groupes-cibles</w:t>
      </w:r>
      <w:r>
        <w:rPr>
          <w:rStyle w:val="Appelnotedebasdep"/>
          <w:szCs w:val="24"/>
        </w:rPr>
        <w:footnoteReference w:id="60"/>
      </w:r>
      <w:r>
        <w:rPr>
          <w:szCs w:val="24"/>
        </w:rPr>
        <w:t xml:space="preserve"> et réductions spécifiques</w:t>
      </w:r>
      <w:r>
        <w:rPr>
          <w:rStyle w:val="Appelnotedebasdep"/>
          <w:szCs w:val="24"/>
        </w:rPr>
        <w:footnoteReference w:id="61"/>
      </w:r>
      <w:r>
        <w:rPr>
          <w:szCs w:val="24"/>
        </w:rPr>
        <w:t>), certaines mesures d’activation</w:t>
      </w:r>
      <w:r>
        <w:rPr>
          <w:rStyle w:val="Appelnotedebasdep"/>
          <w:szCs w:val="24"/>
        </w:rPr>
        <w:footnoteReference w:id="62"/>
      </w:r>
      <w:r>
        <w:rPr>
          <w:szCs w:val="24"/>
        </w:rPr>
        <w:t xml:space="preserve">, les titres-services, </w:t>
      </w:r>
      <w:r w:rsidR="00C63525">
        <w:rPr>
          <w:szCs w:val="24"/>
        </w:rPr>
        <w:t>etc.</w:t>
      </w:r>
      <w:r w:rsidR="00EB787C">
        <w:rPr>
          <w:szCs w:val="24"/>
        </w:rPr>
        <w:t>)</w:t>
      </w:r>
      <w:r>
        <w:rPr>
          <w:szCs w:val="24"/>
        </w:rPr>
        <w:t xml:space="preserve">, </w:t>
      </w:r>
      <w:r w:rsidR="00C63525">
        <w:rPr>
          <w:szCs w:val="24"/>
        </w:rPr>
        <w:t xml:space="preserve">de </w:t>
      </w:r>
      <w:r>
        <w:rPr>
          <w:szCs w:val="24"/>
        </w:rPr>
        <w:t xml:space="preserve">mobilité, </w:t>
      </w:r>
      <w:r w:rsidR="00C63525">
        <w:rPr>
          <w:szCs w:val="24"/>
        </w:rPr>
        <w:t>d’</w:t>
      </w:r>
      <w:r>
        <w:rPr>
          <w:szCs w:val="24"/>
        </w:rPr>
        <w:t xml:space="preserve">énergie, </w:t>
      </w:r>
      <w:r w:rsidR="00C63525">
        <w:rPr>
          <w:szCs w:val="24"/>
        </w:rPr>
        <w:t>d’</w:t>
      </w:r>
      <w:r>
        <w:rPr>
          <w:szCs w:val="24"/>
        </w:rPr>
        <w:t xml:space="preserve">agriculture, </w:t>
      </w:r>
      <w:r w:rsidR="00C63525">
        <w:rPr>
          <w:szCs w:val="24"/>
        </w:rPr>
        <w:t>d’</w:t>
      </w:r>
      <w:r>
        <w:rPr>
          <w:szCs w:val="24"/>
        </w:rPr>
        <w:t xml:space="preserve">économie, </w:t>
      </w:r>
      <w:r w:rsidR="00C63525">
        <w:rPr>
          <w:szCs w:val="24"/>
        </w:rPr>
        <w:t xml:space="preserve">de </w:t>
      </w:r>
      <w:r>
        <w:rPr>
          <w:szCs w:val="24"/>
        </w:rPr>
        <w:t>pouvoirs locaux, dépenses fiscales (avantages fiscaux à l’IPP liés aux économies d’énergie, à l’acquisition du logement principal, aux titres-services, etc.)</w:t>
      </w:r>
      <w:r>
        <w:rPr>
          <w:rStyle w:val="Appelnotedebasdep"/>
          <w:szCs w:val="24"/>
        </w:rPr>
        <w:footnoteReference w:id="63"/>
      </w:r>
      <w:r w:rsidR="00C63525">
        <w:rPr>
          <w:szCs w:val="24"/>
        </w:rPr>
        <w:t>. Les Régions bénéficient également d’un accroissement de leur autonomie fiscale vis-à-vis de l’impôt des personnes physiques (11,9 milliards € sous la forme d’additionnels élargis à l’impôt des personnes physiques, soit une régionalisation de près de 25% de cet impôt).</w:t>
      </w:r>
    </w:p>
    <w:p w14:paraId="0B4EA085" w14:textId="271A1508" w:rsidR="00EC6DD1" w:rsidRDefault="00EC6DD1" w:rsidP="00EC6DD1">
      <w:pPr>
        <w:spacing w:after="120" w:line="360" w:lineRule="auto"/>
        <w:jc w:val="both"/>
        <w:rPr>
          <w:szCs w:val="24"/>
        </w:rPr>
      </w:pPr>
      <w:r>
        <w:rPr>
          <w:szCs w:val="24"/>
        </w:rPr>
        <w:t>Ce transfert de compétences modifie co</w:t>
      </w:r>
      <w:r w:rsidRPr="003D5114">
        <w:rPr>
          <w:szCs w:val="24"/>
        </w:rPr>
        <w:t>nsidérablemen</w:t>
      </w:r>
      <w:r>
        <w:rPr>
          <w:szCs w:val="24"/>
        </w:rPr>
        <w:t>t le poids relatif des différentes entités belges</w:t>
      </w:r>
      <w:r w:rsidRPr="003D5114">
        <w:rPr>
          <w:szCs w:val="24"/>
        </w:rPr>
        <w:t xml:space="preserve">. </w:t>
      </w:r>
      <w:r>
        <w:rPr>
          <w:szCs w:val="24"/>
        </w:rPr>
        <w:t>Selon une étude de la BNB</w:t>
      </w:r>
      <w:r>
        <w:rPr>
          <w:rStyle w:val="Appelnotedebasdep"/>
          <w:szCs w:val="24"/>
        </w:rPr>
        <w:footnoteReference w:id="64"/>
      </w:r>
      <w:r>
        <w:rPr>
          <w:szCs w:val="24"/>
        </w:rPr>
        <w:t xml:space="preserve">, sans réforme de l’Etat, les dépenses primaires de l’Etat fédéral et de la Sécurité sociale (Entité I) auraient représenté, en 2015, 32,0% du PIB (23,1% pour la Sécurité sociale et 8,9% pour l’autorité fédérale) et celles des Communautés, Régions et pouvoirs locaux (Entité II) 19,7% du PIB (12,7% pour les entités fédérées et 7,0% pour les </w:t>
      </w:r>
      <w:r>
        <w:rPr>
          <w:szCs w:val="24"/>
        </w:rPr>
        <w:lastRenderedPageBreak/>
        <w:t>pouvoirs locaux). Après la réforme de l’Etat, les dépenses primaires de l’Entité I représenteraient 28,1% du PIB (19,6% pour la Sécurité sociale et 8,5% pour l’autorité fédérale) et celles de l’Entité II 23,5% du PIB (16,5% pour les entités fédérées et 7% pour les pouvoirs locaux), soit un transfert vers les entités fédérées de 3,8 points de pourcentage du PIB.</w:t>
      </w:r>
    </w:p>
    <w:p w14:paraId="75BE1B50" w14:textId="77777777" w:rsidR="00A55CD4" w:rsidRDefault="00A55CD4">
      <w:pPr>
        <w:spacing w:after="160" w:line="259" w:lineRule="auto"/>
        <w:rPr>
          <w:b/>
          <w:bCs/>
          <w:szCs w:val="24"/>
        </w:rPr>
      </w:pPr>
      <w:r>
        <w:rPr>
          <w:b/>
          <w:bCs/>
          <w:szCs w:val="24"/>
        </w:rPr>
        <w:br w:type="page"/>
      </w:r>
    </w:p>
    <w:p w14:paraId="3EA057A5" w14:textId="4F9ECAA0" w:rsidR="00A55CD4" w:rsidRPr="00A55CD4" w:rsidRDefault="00BC5E12" w:rsidP="00A72528">
      <w:pPr>
        <w:pStyle w:val="Titre1"/>
      </w:pPr>
      <w:bookmarkStart w:id="11" w:name="_Toc96081446"/>
      <w:r w:rsidRPr="00A55CD4">
        <w:lastRenderedPageBreak/>
        <w:t>La construction d’un modèle fédéral asymétrique</w:t>
      </w:r>
      <w:bookmarkEnd w:id="11"/>
    </w:p>
    <w:p w14:paraId="6B875BB1" w14:textId="77777777" w:rsidR="00A55CD4" w:rsidRPr="00A55CD4" w:rsidRDefault="00A55CD4" w:rsidP="00A55CD4">
      <w:pPr>
        <w:ind w:left="360" w:right="-284"/>
        <w:rPr>
          <w:color w:val="0070C0"/>
          <w:u w:val="single"/>
        </w:rPr>
      </w:pP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r w:rsidRPr="00A55CD4">
        <w:rPr>
          <w:color w:val="0070C0"/>
          <w:u w:val="single"/>
        </w:rPr>
        <w:tab/>
      </w:r>
    </w:p>
    <w:p w14:paraId="75ECBDCB" w14:textId="77777777" w:rsidR="00A55CD4" w:rsidRDefault="00A55CD4" w:rsidP="00BC5E12">
      <w:pPr>
        <w:spacing w:after="120" w:line="360" w:lineRule="auto"/>
        <w:jc w:val="both"/>
      </w:pPr>
    </w:p>
    <w:p w14:paraId="69E8626D" w14:textId="61F1B5AE" w:rsidR="00025608" w:rsidRDefault="00BC5E12" w:rsidP="00BC5E12">
      <w:pPr>
        <w:spacing w:after="120" w:line="360" w:lineRule="auto"/>
        <w:jc w:val="both"/>
      </w:pPr>
      <w:r>
        <w:t xml:space="preserve">Parallèlement à la mise en œuvre </w:t>
      </w:r>
      <w:r w:rsidR="007039F4">
        <w:t>progressive d’une structure fédérale</w:t>
      </w:r>
      <w:r>
        <w:t xml:space="preserve">, plusieurs articles de la Constitution ont permis dès les années </w:t>
      </w:r>
      <w:r w:rsidR="00AC0EAD">
        <w:t xml:space="preserve">quatre-vingt </w:t>
      </w:r>
      <w:r>
        <w:t>de créer un modèle asymétrique</w:t>
      </w:r>
      <w:r w:rsidR="007A1C03">
        <w:t xml:space="preserve"> et des raisons évidentes </w:t>
      </w:r>
      <w:r w:rsidR="00AC0EAD">
        <w:t xml:space="preserve">liées aux </w:t>
      </w:r>
      <w:r w:rsidR="007A1C03">
        <w:t>finances publiques peuvent expliquer ces transformations.</w:t>
      </w:r>
    </w:p>
    <w:p w14:paraId="7DCDCAF5" w14:textId="228CBDE7" w:rsidR="005271C1" w:rsidRPr="00A55CD4" w:rsidRDefault="0089474E" w:rsidP="00A72528">
      <w:pPr>
        <w:pStyle w:val="Titre2"/>
      </w:pPr>
      <w:bookmarkStart w:id="12" w:name="_Toc96081447"/>
      <w:r w:rsidRPr="00A55CD4">
        <w:t>La « création » d’une entité flamande unique</w:t>
      </w:r>
      <w:bookmarkEnd w:id="12"/>
    </w:p>
    <w:p w14:paraId="4C21ADE5" w14:textId="09625AFA" w:rsidR="00865536" w:rsidRDefault="00BC5E12" w:rsidP="006E62D8">
      <w:pPr>
        <w:shd w:val="clear" w:color="auto" w:fill="FBFBFB"/>
        <w:spacing w:after="120" w:line="360" w:lineRule="auto"/>
        <w:jc w:val="both"/>
        <w:rPr>
          <w:szCs w:val="24"/>
        </w:rPr>
      </w:pPr>
      <w:r>
        <w:t xml:space="preserve">En vertu de l’article 137 de la Constitution, </w:t>
      </w:r>
      <w:r w:rsidRPr="00492039">
        <w:t>la Communauté flamande</w:t>
      </w:r>
      <w:r>
        <w:t xml:space="preserve"> exerce,</w:t>
      </w:r>
      <w:r w:rsidRPr="00492039">
        <w:t xml:space="preserve"> depuis la création de la Région flamande en 1980, </w:t>
      </w:r>
      <w:r w:rsidRPr="004D4E4A">
        <w:t>les compétences de cette dernière</w:t>
      </w:r>
      <w:r>
        <w:t xml:space="preserve">. </w:t>
      </w:r>
      <w:r w:rsidR="001B4F70" w:rsidRPr="00C91787">
        <w:t xml:space="preserve">En réalité, </w:t>
      </w:r>
      <w:r w:rsidR="00865536" w:rsidRPr="00C91787">
        <w:t xml:space="preserve">la loi du 20 juillet </w:t>
      </w:r>
      <w:r w:rsidR="00865536" w:rsidRPr="006E62D8">
        <w:t>1979</w:t>
      </w:r>
      <w:r w:rsidR="00865536" w:rsidRPr="006E62D8">
        <w:rPr>
          <w:rStyle w:val="Appelnotedebasdep"/>
        </w:rPr>
        <w:footnoteReference w:id="65"/>
      </w:r>
      <w:r w:rsidR="00865536" w:rsidRPr="006E62D8">
        <w:t xml:space="preserve"> instituait déjà le principe de l’asymétrie des exécutifs</w:t>
      </w:r>
      <w:r w:rsidR="00865536" w:rsidRPr="006E62D8">
        <w:rPr>
          <w:rStyle w:val="Appelnotedebasdep"/>
        </w:rPr>
        <w:footnoteReference w:id="66"/>
      </w:r>
      <w:r w:rsidR="00865536" w:rsidRPr="006E62D8">
        <w:t xml:space="preserve"> entre le Nord et le Sud du pays.</w:t>
      </w:r>
      <w:r w:rsidR="00865536">
        <w:t xml:space="preserve"> Lors de la création des exécutifs régionaux et communautaires au sein du gouvernement national</w:t>
      </w:r>
      <w:r w:rsidR="00553347">
        <w:t xml:space="preserve">, un seul </w:t>
      </w:r>
      <w:r w:rsidR="00865536">
        <w:t>comité ministériel</w:t>
      </w:r>
      <w:r w:rsidR="00553347">
        <w:t xml:space="preserve"> </w:t>
      </w:r>
      <w:r w:rsidR="00865536">
        <w:t>était constitué pour la Communauté culturelle néerlandaise et la Région flamande</w:t>
      </w:r>
      <w:r w:rsidR="00553347">
        <w:t xml:space="preserve"> alors que, </w:t>
      </w:r>
      <w:r w:rsidR="00865536">
        <w:t>du côté francophone</w:t>
      </w:r>
      <w:r w:rsidR="00553347">
        <w:t>,</w:t>
      </w:r>
      <w:r w:rsidR="00865536">
        <w:t xml:space="preserve"> il était prévu un exécutif de la Communauté </w:t>
      </w:r>
      <w:r w:rsidR="00C91787">
        <w:t xml:space="preserve">culturelle </w:t>
      </w:r>
      <w:r w:rsidR="00865536">
        <w:t xml:space="preserve">française et un exécutif de la Région wallonne. Un exécutif </w:t>
      </w:r>
      <w:r w:rsidR="00553347">
        <w:t>était</w:t>
      </w:r>
      <w:r w:rsidR="00865536">
        <w:t xml:space="preserve"> également mis en place</w:t>
      </w:r>
      <w:r w:rsidR="00C91787" w:rsidRPr="00C91787">
        <w:t xml:space="preserve"> </w:t>
      </w:r>
      <w:r w:rsidR="00C91787">
        <w:t>pour la Région bruxelloise</w:t>
      </w:r>
      <w:r w:rsidR="00865536">
        <w:t xml:space="preserve">. </w:t>
      </w:r>
    </w:p>
    <w:p w14:paraId="72FEF244" w14:textId="61095FF0" w:rsidR="005271C1" w:rsidRDefault="00553347" w:rsidP="005271C1">
      <w:pPr>
        <w:spacing w:after="120" w:line="360" w:lineRule="auto"/>
        <w:jc w:val="both"/>
      </w:pPr>
      <w:r>
        <w:t xml:space="preserve">Depuis 1980, les deux </w:t>
      </w:r>
      <w:r w:rsidR="009F12D8" w:rsidRPr="00D94C03">
        <w:t>entités</w:t>
      </w:r>
      <w:r w:rsidR="00C91787">
        <w:t xml:space="preserve"> flamandes</w:t>
      </w:r>
      <w:r w:rsidR="009F12D8" w:rsidRPr="00D94C03">
        <w:t>, dotées chacune d’une personnalité juridique propre, continuent cependant d’exister avec leur propre sphère de compétences. Ainsi, les décrets adoptés par le Conseil flamand doivent mentionner s’ils règlent des matières régionales</w:t>
      </w:r>
      <w:r w:rsidR="00DC719E">
        <w:t>,</w:t>
      </w:r>
      <w:r w:rsidR="009F12D8" w:rsidRPr="00D94C03">
        <w:t xml:space="preserve"> communautaires</w:t>
      </w:r>
      <w:r w:rsidR="00DC719E">
        <w:t xml:space="preserve"> ou régionales </w:t>
      </w:r>
      <w:r w:rsidR="00DC719E" w:rsidRPr="009851FA">
        <w:rPr>
          <w:i/>
          <w:iCs/>
        </w:rPr>
        <w:t>et</w:t>
      </w:r>
      <w:r w:rsidR="00DC719E">
        <w:t xml:space="preserve"> communautaires</w:t>
      </w:r>
      <w:r w:rsidR="009F12D8" w:rsidRPr="00D94C03">
        <w:rPr>
          <w:rStyle w:val="Appelnotedebasdep"/>
          <w:szCs w:val="24"/>
        </w:rPr>
        <w:footnoteReference w:id="67"/>
      </w:r>
      <w:r w:rsidR="00E85956">
        <w:t>. Mais,</w:t>
      </w:r>
      <w:r w:rsidR="009F12D8">
        <w:t xml:space="preserve"> dans les faits</w:t>
      </w:r>
      <w:r w:rsidR="0059405F">
        <w:t>,</w:t>
      </w:r>
      <w:r w:rsidR="009F12D8">
        <w:t xml:space="preserve"> les compétences sont de plus en plus interconnectées</w:t>
      </w:r>
      <w:r w:rsidR="00E85956">
        <w:t xml:space="preserve"> et la distinction entre les deux entités s’est effacée</w:t>
      </w:r>
      <w:r w:rsidR="009F12D8">
        <w:t xml:space="preserve">. </w:t>
      </w:r>
      <w:r w:rsidR="00BC5E12">
        <w:t>Les</w:t>
      </w:r>
      <w:r w:rsidR="00BC5E12" w:rsidRPr="00B2610B">
        <w:t xml:space="preserve"> compétences de la Communauté et de la Région flamande</w:t>
      </w:r>
      <w:r w:rsidR="00B452A4">
        <w:t>s</w:t>
      </w:r>
      <w:r w:rsidR="00BC5E12" w:rsidRPr="00B2610B">
        <w:t xml:space="preserve"> sont </w:t>
      </w:r>
      <w:r w:rsidR="00BC5E12">
        <w:t>donc mise</w:t>
      </w:r>
      <w:r w:rsidR="00392843">
        <w:t>s</w:t>
      </w:r>
      <w:r w:rsidR="00BC5E12">
        <w:t xml:space="preserve"> en œuvre </w:t>
      </w:r>
      <w:r w:rsidR="00BC5E12" w:rsidRPr="00B2610B">
        <w:t>par un seul parlement (Parlement flamand) et un seul gouvernement (Gouvernement flamand)</w:t>
      </w:r>
      <w:r w:rsidR="00BC5E12">
        <w:t xml:space="preserve">. </w:t>
      </w:r>
      <w:r w:rsidR="004D541C">
        <w:t>Vu de Flandre, cette « </w:t>
      </w:r>
      <w:r w:rsidR="00302A42">
        <w:t>fusion</w:t>
      </w:r>
      <w:r w:rsidR="00865536">
        <w:t> »</w:t>
      </w:r>
      <w:r w:rsidR="00302A42">
        <w:t xml:space="preserve"> de la Communauté et de la Région flamandes </w:t>
      </w:r>
      <w:r w:rsidR="00B452A4">
        <w:t>simplifie</w:t>
      </w:r>
      <w:r w:rsidR="0059405F">
        <w:t xml:space="preserve"> le paysage politique flamand</w:t>
      </w:r>
      <w:r w:rsidR="00E85956">
        <w:t xml:space="preserve"> (une seule dénomination)</w:t>
      </w:r>
      <w:r w:rsidR="0059405F">
        <w:t xml:space="preserve"> et </w:t>
      </w:r>
      <w:r w:rsidR="00B452A4">
        <w:t xml:space="preserve">affirme </w:t>
      </w:r>
      <w:r w:rsidR="00302A42">
        <w:t xml:space="preserve">clairement l’appartenance des Bruxellois flamands à </w:t>
      </w:r>
      <w:r w:rsidR="00B452A4">
        <w:t>« </w:t>
      </w:r>
      <w:r w:rsidR="00302A42">
        <w:t>l’Etat fédéré flamand »</w:t>
      </w:r>
      <w:r w:rsidR="00302A42">
        <w:rPr>
          <w:rStyle w:val="Appelnotedebasdep"/>
        </w:rPr>
        <w:footnoteReference w:id="68"/>
      </w:r>
      <w:r w:rsidR="00302A42">
        <w:t>.</w:t>
      </w:r>
      <w:r w:rsidR="004D541C">
        <w:t xml:space="preserve"> </w:t>
      </w:r>
      <w:r w:rsidR="0059405F">
        <w:t>Notons que m</w:t>
      </w:r>
      <w:r w:rsidR="004D23AA">
        <w:t xml:space="preserve">ême s’il n’existe aucun recensement linguistique à Bruxelles, on peut estimer que la clé de répartition entre les </w:t>
      </w:r>
      <w:r w:rsidR="00E85956">
        <w:t xml:space="preserve">personnes ayant marqué une préférence </w:t>
      </w:r>
      <w:r w:rsidR="00E85956">
        <w:lastRenderedPageBreak/>
        <w:t>administrative pour l’usage du français et ceux ayant marqué une préférence pour l’utilisation du néerlandais s</w:t>
      </w:r>
      <w:r w:rsidR="004D23AA">
        <w:t>e situe</w:t>
      </w:r>
      <w:r w:rsidR="00AC0EAD">
        <w:t xml:space="preserve">, sur le territoire de cette région bilingue de </w:t>
      </w:r>
      <w:r w:rsidR="002C78A3">
        <w:t>Bruxelles</w:t>
      </w:r>
      <w:r w:rsidR="00AC0EAD">
        <w:t>-Capitale,</w:t>
      </w:r>
      <w:r w:rsidR="004D23AA">
        <w:t xml:space="preserve"> aux alentours de 90%</w:t>
      </w:r>
      <w:r w:rsidR="00AC0EAD">
        <w:t xml:space="preserve"> (francophones)</w:t>
      </w:r>
      <w:r w:rsidR="004D23AA">
        <w:t>-10%</w:t>
      </w:r>
      <w:r w:rsidR="00AC0EAD">
        <w:t xml:space="preserve"> (néerlandophones)</w:t>
      </w:r>
      <w:r w:rsidR="005271C1">
        <w:rPr>
          <w:rStyle w:val="Appelnotedebasdep"/>
        </w:rPr>
        <w:footnoteReference w:id="69"/>
      </w:r>
      <w:r w:rsidR="005271C1">
        <w:t>.</w:t>
      </w:r>
    </w:p>
    <w:p w14:paraId="7A0C004D" w14:textId="304FA786" w:rsidR="00D1218B" w:rsidRDefault="00BC5E12" w:rsidP="00BC5E12">
      <w:pPr>
        <w:spacing w:after="120" w:line="360" w:lineRule="auto"/>
        <w:jc w:val="both"/>
      </w:pPr>
      <w:r>
        <w:t xml:space="preserve">En termes de finances publiques, les conséquences sont importantes. </w:t>
      </w:r>
      <w:r w:rsidR="00553347">
        <w:t>La fusion des d</w:t>
      </w:r>
      <w:r>
        <w:t xml:space="preserve">eux budgets </w:t>
      </w:r>
      <w:r w:rsidR="00553347">
        <w:t xml:space="preserve">permet de bénéficier d’économies d’échelles tant en recettes qu’en dépenses. </w:t>
      </w:r>
      <w:r w:rsidR="001F330E">
        <w:t>A titre de comparaison, e</w:t>
      </w:r>
      <w:r w:rsidR="00553347">
        <w:t xml:space="preserve">n </w:t>
      </w:r>
      <w:r w:rsidR="000D5426">
        <w:t>2019</w:t>
      </w:r>
      <w:r w:rsidR="001F330E">
        <w:rPr>
          <w:rStyle w:val="Appelnotedebasdep"/>
        </w:rPr>
        <w:footnoteReference w:id="70"/>
      </w:r>
      <w:r w:rsidR="000D5426">
        <w:t>,</w:t>
      </w:r>
      <w:r>
        <w:t xml:space="preserve"> </w:t>
      </w:r>
      <w:r w:rsidR="000D5426">
        <w:t>le</w:t>
      </w:r>
      <w:r w:rsidR="006E62D8">
        <w:t xml:space="preserve">s dépenses primaires </w:t>
      </w:r>
      <w:r w:rsidR="000D5426">
        <w:t>de la Communauté flamande s’élève</w:t>
      </w:r>
      <w:r w:rsidR="00C1229A">
        <w:t xml:space="preserve">nt </w:t>
      </w:r>
      <w:r w:rsidR="000D5426">
        <w:t xml:space="preserve">à </w:t>
      </w:r>
      <w:r w:rsidR="006E62D8">
        <w:t>9,68% du PIB</w:t>
      </w:r>
      <w:r>
        <w:t xml:space="preserve"> à comparer </w:t>
      </w:r>
      <w:r w:rsidR="00C1229A">
        <w:t xml:space="preserve">avec </w:t>
      </w:r>
      <w:r w:rsidR="006E62D8">
        <w:t>les dépenses primaires de l’autorité fédérale (14</w:t>
      </w:r>
      <w:r w:rsidR="00C1229A">
        <w:t>,</w:t>
      </w:r>
      <w:r w:rsidR="006E62D8">
        <w:t>2% du PIB dont 8,6 points de pourcentage sont des transferts budgétaires à la sécurité sociale et aux entités fédérées)</w:t>
      </w:r>
      <w:r>
        <w:t xml:space="preserve">. D’autre part, </w:t>
      </w:r>
      <w:r w:rsidR="001F330E">
        <w:t xml:space="preserve">cette fusion </w:t>
      </w:r>
      <w:r>
        <w:t>permet également de fusionner les recettes régionales et communautaires</w:t>
      </w:r>
      <w:r w:rsidR="00E85956">
        <w:rPr>
          <w:rStyle w:val="Appelnotedebasdep"/>
        </w:rPr>
        <w:footnoteReference w:id="71"/>
      </w:r>
      <w:r>
        <w:t xml:space="preserve"> et par conséquen</w:t>
      </w:r>
      <w:r w:rsidR="001F330E">
        <w:t>t</w:t>
      </w:r>
      <w:r>
        <w:t xml:space="preserve"> </w:t>
      </w:r>
      <w:r w:rsidR="00D1218B">
        <w:t>de permettre aux matières communautaires d’être financées par des ressources régionales</w:t>
      </w:r>
      <w:r w:rsidR="00AC0EAD">
        <w:t xml:space="preserve"> (ou l’inverse)</w:t>
      </w:r>
      <w:r w:rsidR="00D1218B">
        <w:t xml:space="preserve">. </w:t>
      </w:r>
      <w:r w:rsidR="006E62D8">
        <w:t>Vu l</w:t>
      </w:r>
      <w:r w:rsidR="0059405F">
        <w:t>’évolution probable des dernières</w:t>
      </w:r>
      <w:r w:rsidR="006E62D8">
        <w:t xml:space="preserve"> compétences transférées (notamment liées au </w:t>
      </w:r>
      <w:r w:rsidR="004621C1">
        <w:t>vieillissement</w:t>
      </w:r>
      <w:r w:rsidR="006E62D8">
        <w:t xml:space="preserve"> de la population), l</w:t>
      </w:r>
      <w:r w:rsidR="00D1218B">
        <w:t>a structure d</w:t>
      </w:r>
      <w:r w:rsidR="006E62D8">
        <w:t>e</w:t>
      </w:r>
      <w:r w:rsidR="00D1218B">
        <w:t xml:space="preserve"> financement des Communautés </w:t>
      </w:r>
      <w:r w:rsidR="00E5261D">
        <w:t>s’avère de plus en</w:t>
      </w:r>
      <w:r w:rsidR="00D1218B">
        <w:t xml:space="preserve"> plus fragile car leurs moyens reposent essentiellement sur des dotations et elles </w:t>
      </w:r>
      <w:r w:rsidR="00E5261D">
        <w:t>sont</w:t>
      </w:r>
      <w:r w:rsidR="00D1218B">
        <w:t xml:space="preserve">, </w:t>
      </w:r>
      <w:r w:rsidR="00D1218B" w:rsidRPr="002C78A3">
        <w:rPr>
          <w:i/>
          <w:iCs/>
        </w:rPr>
        <w:t>de facto</w:t>
      </w:r>
      <w:r w:rsidR="00D1218B">
        <w:t>, dépourvues de pouvoir fiscal</w:t>
      </w:r>
      <w:r w:rsidR="00D1218B">
        <w:rPr>
          <w:rStyle w:val="Appelnotedebasdep"/>
          <w:rFonts w:ascii="Arial" w:hAnsi="Arial" w:cs="Arial"/>
          <w:color w:val="231F20"/>
          <w:sz w:val="18"/>
          <w:szCs w:val="18"/>
          <w:shd w:val="clear" w:color="auto" w:fill="FFFFFF"/>
        </w:rPr>
        <w:footnoteReference w:id="72"/>
      </w:r>
      <w:r w:rsidR="00D1218B">
        <w:t xml:space="preserve">. </w:t>
      </w:r>
      <w:r w:rsidR="00AB15E3">
        <w:t>Même si le principe d’un pouvoir fiscal des Communautés est prévu dans la Constitution (art. 170 §2, al.</w:t>
      </w:r>
      <w:r w:rsidR="00C1229A">
        <w:t xml:space="preserve"> </w:t>
      </w:r>
      <w:r w:rsidR="00AB15E3">
        <w:t xml:space="preserve">2), sa mise en œuvre se heurte à l’absence </w:t>
      </w:r>
      <w:r w:rsidR="00C1229A">
        <w:t xml:space="preserve">de contribuables </w:t>
      </w:r>
      <w:r w:rsidR="00AC0EAD">
        <w:t xml:space="preserve">rattachables à un rôle linguistique donné </w:t>
      </w:r>
      <w:r w:rsidR="00C1229A">
        <w:t>(</w:t>
      </w:r>
      <w:r w:rsidR="00AC0EAD">
        <w:t xml:space="preserve">pas de </w:t>
      </w:r>
      <w:r w:rsidR="00C1229A">
        <w:t>sous-nationalité)</w:t>
      </w:r>
      <w:r w:rsidR="00AB15E3">
        <w:t xml:space="preserve"> sur le territoire de la Région de Bruxelles-Capitale.</w:t>
      </w:r>
    </w:p>
    <w:p w14:paraId="241578A5" w14:textId="30E2B21E" w:rsidR="00567AFB" w:rsidRDefault="00B64FAE" w:rsidP="00567AFB">
      <w:pPr>
        <w:spacing w:after="120" w:line="360" w:lineRule="auto"/>
        <w:jc w:val="both"/>
      </w:pPr>
      <w:r>
        <w:t>En 1980, la loi spéciale de réforme institutionnelle laissait également à la Région wallonne et la Communauté française la possibilité de suivre le modèle flamand autrement dit</w:t>
      </w:r>
      <w:r w:rsidR="00B02E19">
        <w:t>,</w:t>
      </w:r>
      <w:r>
        <w:t xml:space="preserve"> de décider que la Communauté française </w:t>
      </w:r>
      <w:r w:rsidR="00853889">
        <w:t xml:space="preserve">pouvait exercer </w:t>
      </w:r>
      <w:r w:rsidR="00B02E19">
        <w:t>les compétences régionales</w:t>
      </w:r>
      <w:r w:rsidR="00B02E19">
        <w:rPr>
          <w:rStyle w:val="Appelnotedebasdep"/>
        </w:rPr>
        <w:footnoteReference w:id="73"/>
      </w:r>
      <w:r w:rsidR="00B02E19">
        <w:t>. Cette disposition ne fut cependant pas mise en œuvre, l</w:t>
      </w:r>
      <w:r w:rsidR="00BC5E12" w:rsidRPr="00492039">
        <w:t xml:space="preserve">a Communauté française et la Région wallonne </w:t>
      </w:r>
      <w:r w:rsidR="00B02E19">
        <w:t>restant</w:t>
      </w:r>
      <w:r w:rsidR="00BC5E12">
        <w:t xml:space="preserve"> </w:t>
      </w:r>
      <w:r w:rsidR="00BC5E12" w:rsidRPr="00492039">
        <w:t>des institutions distinctes, compétentes respectivement pour les matières communautaires et pour les</w:t>
      </w:r>
      <w:r w:rsidR="00BC5E12">
        <w:t xml:space="preserve"> matières régionales. </w:t>
      </w:r>
      <w:r w:rsidR="00B02E19">
        <w:t>Une telle fusion aurait reconnu la suprématie du fait communautaire sur le fait régional, ce qui s’opposait à la vision majoritaire au Sud du pays de développer un modèle fédéral basé sur les Régions et la volonté de mettre en œuvre la Région de Bruxelles-Capitale</w:t>
      </w:r>
      <w:r w:rsidR="00567AFB">
        <w:t xml:space="preserve"> (qui devra attendre </w:t>
      </w:r>
      <w:r w:rsidR="00853889">
        <w:t xml:space="preserve">encore </w:t>
      </w:r>
      <w:r w:rsidR="00567AFB">
        <w:t>jusqu’en 1989)</w:t>
      </w:r>
      <w:r w:rsidR="00B02E19">
        <w:t>. Par ailleurs, dans le cas d’une fusion de la Communauté française et de la Région wallonne, l</w:t>
      </w:r>
      <w:r w:rsidR="004D23AA">
        <w:t xml:space="preserve">es francophones </w:t>
      </w:r>
      <w:r w:rsidR="00B02E19">
        <w:t>de</w:t>
      </w:r>
      <w:r w:rsidR="004D23AA">
        <w:t xml:space="preserve"> Bruxelles (</w:t>
      </w:r>
      <w:r w:rsidR="00B02E19">
        <w:t xml:space="preserve">dont le poids est bien plus important que </w:t>
      </w:r>
      <w:r w:rsidR="00B02E19">
        <w:lastRenderedPageBreak/>
        <w:t>celui des n</w:t>
      </w:r>
      <w:r w:rsidR="004D23AA">
        <w:t>éerlandophones) auraient été exclus de cette institution.</w:t>
      </w:r>
      <w:r w:rsidR="00553347">
        <w:t xml:space="preserve"> </w:t>
      </w:r>
      <w:r w:rsidR="00853889">
        <w:t>Lors de la réforme institutionnelle de 1993, l’article 1</w:t>
      </w:r>
      <w:r w:rsidR="00853889" w:rsidRPr="00567AFB">
        <w:rPr>
          <w:vertAlign w:val="superscript"/>
        </w:rPr>
        <w:t>er</w:t>
      </w:r>
      <w:r w:rsidR="00853889">
        <w:t>, §4 de la LSRI qui permettait le transfert Région-Communauté pour le Sud du pays fut abrogé</w:t>
      </w:r>
      <w:r w:rsidR="00EB787C">
        <w:t>,</w:t>
      </w:r>
      <w:r w:rsidR="00853889">
        <w:t xml:space="preserve"> de sorte que cette opération est devenue impossible</w:t>
      </w:r>
      <w:r w:rsidR="00853889">
        <w:rPr>
          <w:rStyle w:val="Appelnotedebasdep"/>
        </w:rPr>
        <w:footnoteReference w:id="74"/>
      </w:r>
      <w:r w:rsidR="00853889">
        <w:t xml:space="preserve">. </w:t>
      </w:r>
      <w:r w:rsidR="00567AFB">
        <w:t>En conséquence, le maintien des institutions francophones ne permettait donc pas (contrairement à la Flandre) de « fusionner » les recettes régionales et communautaires et de bénéficier du pouvoir fiscal des Régions</w:t>
      </w:r>
      <w:r w:rsidR="00567AFB">
        <w:rPr>
          <w:rStyle w:val="Appelnotedebasdep"/>
        </w:rPr>
        <w:footnoteReference w:id="75"/>
      </w:r>
      <w:r w:rsidR="00567AFB">
        <w:t xml:space="preserve"> pour financer les matières communautaires.</w:t>
      </w:r>
    </w:p>
    <w:p w14:paraId="0A709225" w14:textId="7682EB44" w:rsidR="005271C1" w:rsidRPr="00A55CD4" w:rsidRDefault="003601BC" w:rsidP="00A72528">
      <w:pPr>
        <w:pStyle w:val="Titre2"/>
      </w:pPr>
      <w:bookmarkStart w:id="13" w:name="_Toc96081448"/>
      <w:bookmarkStart w:id="14" w:name="_Hlk87179949"/>
      <w:r w:rsidRPr="00A55CD4">
        <w:t>Les problèmes de financement des institutions francophones</w:t>
      </w:r>
      <w:bookmarkEnd w:id="13"/>
    </w:p>
    <w:p w14:paraId="7A0AE8B8" w14:textId="6D3639BF" w:rsidR="00747263" w:rsidRPr="00A55CD4" w:rsidRDefault="00747263" w:rsidP="00A72528">
      <w:pPr>
        <w:pStyle w:val="Titre3"/>
      </w:pPr>
      <w:bookmarkStart w:id="15" w:name="_Toc96081449"/>
      <w:bookmarkEnd w:id="14"/>
      <w:r w:rsidRPr="00A55CD4">
        <w:t>Les prémices des transferts de compétences de la Communauté française vers la Commission communautaire française</w:t>
      </w:r>
      <w:bookmarkEnd w:id="15"/>
    </w:p>
    <w:p w14:paraId="54C0A5AD" w14:textId="14AF67F9" w:rsidR="005914B8" w:rsidRDefault="005914B8" w:rsidP="005914B8">
      <w:pPr>
        <w:spacing w:after="120" w:line="360" w:lineRule="auto"/>
        <w:jc w:val="both"/>
      </w:pPr>
      <w:r>
        <w:t>Notons que pour permettre un traitement spécifique de certaines matières personnalisables à Bruxelles, le décret du 1</w:t>
      </w:r>
      <w:r w:rsidR="00853889">
        <w:t>8</w:t>
      </w:r>
      <w:r>
        <w:t xml:space="preserve"> juin 1990</w:t>
      </w:r>
      <w:r w:rsidR="00B40A78">
        <w:rPr>
          <w:rStyle w:val="Appelnotedebasdep"/>
        </w:rPr>
        <w:footnoteReference w:id="76"/>
      </w:r>
      <w:r>
        <w:t xml:space="preserve"> de la Communauté française délègue à la Commission communautaire française (COCOF) les compétences réglementaires dans le domaine de l’aide sociale (centres de service social, centres d’aide et d’information sexuelle, conjugale et familiale, services de santé mentale, maisons de repos, institutions médico-socio-pédagogiques pour handicapés et services d’aides aux familles et aux personnes âgées). Les compétences réglementaires transférées sont le pouvoir d’agréer les institutions et de modifier par règlement un certain nombre de règles relatives à l’agrément et au subventionnement de ces institutions</w:t>
      </w:r>
      <w:r w:rsidR="009851FA">
        <w:rPr>
          <w:rStyle w:val="Appelnotedebasdep"/>
        </w:rPr>
        <w:footnoteReference w:id="77"/>
      </w:r>
      <w:r w:rsidR="009851FA">
        <w:t xml:space="preserve">. </w:t>
      </w:r>
      <w:r>
        <w:t>Aucune opération similaire n’a été organisée par la Communauté flamande vers la Commission communautaire flamande (VGC)</w:t>
      </w:r>
      <w:r w:rsidR="005A7E04">
        <w:t>, elle</w:t>
      </w:r>
      <w:r>
        <w:t xml:space="preserve"> reste donc compétente sur le territoire de Bruxelles pour ces compétences.</w:t>
      </w:r>
    </w:p>
    <w:p w14:paraId="5404EDC3" w14:textId="51CE9607" w:rsidR="00C50A69" w:rsidRPr="00A55CD4" w:rsidRDefault="00C50A69" w:rsidP="00A72528">
      <w:pPr>
        <w:pStyle w:val="Titre3"/>
      </w:pPr>
      <w:bookmarkStart w:id="16" w:name="_Toc96081450"/>
      <w:r w:rsidRPr="00A55CD4">
        <w:t>Les premiers dispositifs de refinancement de la Communauté française</w:t>
      </w:r>
      <w:r w:rsidR="00D04F5D" w:rsidRPr="00A55CD4">
        <w:t xml:space="preserve"> (gestion conjointe d’organismes avec la Région wallonne)</w:t>
      </w:r>
      <w:bookmarkEnd w:id="16"/>
    </w:p>
    <w:p w14:paraId="537FA459" w14:textId="7ADA96AB" w:rsidR="00E5261D" w:rsidRDefault="00AD79FC" w:rsidP="002940A5">
      <w:pPr>
        <w:spacing w:after="120" w:line="360" w:lineRule="auto"/>
        <w:jc w:val="both"/>
      </w:pPr>
      <w:r>
        <w:t xml:space="preserve">La mise en œuvre des nouvelles règles de financement et le transfert des compétences en 1988-89 (principalement l’enseignement) va rapidement se traduire par des difficultés financières pour </w:t>
      </w:r>
      <w:r w:rsidR="004D541C">
        <w:t>la Communauté française</w:t>
      </w:r>
      <w:r w:rsidR="00BA1240">
        <w:rPr>
          <w:rStyle w:val="Appelnotedebasdep"/>
        </w:rPr>
        <w:footnoteReference w:id="78"/>
      </w:r>
      <w:r w:rsidR="004D541C">
        <w:t xml:space="preserve">. Dans les travaux parlementaires de 1988, il apparaissait clairement qu’à politique inchangée, le budget de la Communauté présenterait un solde négatif au moins jusqu’en 2005. </w:t>
      </w:r>
      <w:r>
        <w:t>La réforme de 1989 supposait</w:t>
      </w:r>
      <w:r w:rsidR="004D541C">
        <w:t xml:space="preserve"> implicitement que des économies substantielles pourraient </w:t>
      </w:r>
      <w:r w:rsidR="004D541C">
        <w:lastRenderedPageBreak/>
        <w:t xml:space="preserve">être réalisées sur le budget de l’enseignement francophone car il était </w:t>
      </w:r>
      <w:r>
        <w:t xml:space="preserve">déjà </w:t>
      </w:r>
      <w:r w:rsidR="004D541C">
        <w:t xml:space="preserve">réputé plus </w:t>
      </w:r>
      <w:r w:rsidR="00DD100F">
        <w:t>coûteux</w:t>
      </w:r>
      <w:r w:rsidR="004D541C">
        <w:t>, par habitant, qu’en Communauté flamande</w:t>
      </w:r>
      <w:r w:rsidR="00DD100F">
        <w:t>,</w:t>
      </w:r>
      <w:r w:rsidR="004D541C">
        <w:t xml:space="preserve"> ou même</w:t>
      </w:r>
      <w:r w:rsidR="00DD100F">
        <w:t>,</w:t>
      </w:r>
      <w:r w:rsidR="004D541C">
        <w:t xml:space="preserve"> </w:t>
      </w:r>
      <w:r w:rsidR="00DD100F">
        <w:t xml:space="preserve">que </w:t>
      </w:r>
      <w:r w:rsidR="004D541C">
        <w:t>dans la plupart des pays de l’OCDE. En 1988, l’idée prévalait qu’il était théoriquement possible de mener, avec moins de moyens</w:t>
      </w:r>
      <w:r w:rsidR="00DD100F">
        <w:t xml:space="preserve"> financiers</w:t>
      </w:r>
      <w:r w:rsidR="004D541C">
        <w:t xml:space="preserve">, une politique d’enseignement au moins équivalente à celle du passé. Mais la volonté des gouvernements de réduire les dépenses d’enseignement s’est heurtée à une forte opposition des enseignants et aux réalités </w:t>
      </w:r>
      <w:r w:rsidR="00853889">
        <w:t>d’organisation de l’enseignement (pilarisation et organisation des réseaux)</w:t>
      </w:r>
      <w:r w:rsidR="004D541C">
        <w:rPr>
          <w:rStyle w:val="Appelnotedebasdep"/>
        </w:rPr>
        <w:footnoteReference w:id="79"/>
      </w:r>
      <w:r w:rsidR="004D541C">
        <w:t xml:space="preserve">. </w:t>
      </w:r>
      <w:r w:rsidR="00105B34">
        <w:t>Face</w:t>
      </w:r>
      <w:r w:rsidR="004D541C">
        <w:t xml:space="preserve"> </w:t>
      </w:r>
      <w:r w:rsidR="00FA332A">
        <w:t>à l’absence de réformes structurelles de ses coûts, l</w:t>
      </w:r>
      <w:r w:rsidR="00105B34">
        <w:t xml:space="preserve">a mise en œuvre des nouveaux </w:t>
      </w:r>
      <w:r w:rsidR="00FA332A">
        <w:t>mécanismes de financement allait s’avérer particulièrement défavorable</w:t>
      </w:r>
      <w:r w:rsidR="00853889">
        <w:t xml:space="preserve"> au budget de </w:t>
      </w:r>
      <w:r w:rsidR="00FA332A">
        <w:t>la Communauté française</w:t>
      </w:r>
      <w:r w:rsidR="00FA332A">
        <w:rPr>
          <w:rStyle w:val="Appelnotedebasdep"/>
        </w:rPr>
        <w:footnoteReference w:id="80"/>
      </w:r>
      <w:r w:rsidR="00FA332A">
        <w:t xml:space="preserve"> qui ne pouvait bénéficier d’autres ressources (contrairement à la Communauté flamande qui avait fusionné avec la Région</w:t>
      </w:r>
      <w:r w:rsidR="00B40A78">
        <w:rPr>
          <w:rStyle w:val="Appelnotedebasdep"/>
        </w:rPr>
        <w:footnoteReference w:id="81"/>
      </w:r>
      <w:r w:rsidR="00FA332A">
        <w:t>) ou recourir à son autonomie fiscale vu l</w:t>
      </w:r>
      <w:r w:rsidR="004D541C">
        <w:t>’impossibilité matérielle d’exercer son pouvoir fiscal dans la Région de Bruxelle</w:t>
      </w:r>
      <w:r w:rsidR="00FA332A">
        <w:t>s</w:t>
      </w:r>
      <w:r>
        <w:t>-</w:t>
      </w:r>
      <w:r w:rsidR="006E0693">
        <w:t>C</w:t>
      </w:r>
      <w:r>
        <w:t>apitale</w:t>
      </w:r>
      <w:r w:rsidR="004D541C">
        <w:t>.</w:t>
      </w:r>
      <w:r w:rsidR="00A556C1">
        <w:t xml:space="preserve"> </w:t>
      </w:r>
      <w:r w:rsidR="002940A5">
        <w:t>L</w:t>
      </w:r>
      <w:r w:rsidR="00392843">
        <w:t>’insuffisance de ressources face à ses dépenses et l’</w:t>
      </w:r>
      <w:r w:rsidR="002940A5">
        <w:t>endettement qui allait en résulter engendrer</w:t>
      </w:r>
      <w:r w:rsidR="00392843">
        <w:t>ont</w:t>
      </w:r>
      <w:r w:rsidR="002940A5">
        <w:t xml:space="preserve"> des charges d’intérêts pour lesquels il n’existait aucune marge de manœuvre en</w:t>
      </w:r>
      <w:r w:rsidR="00DD100F">
        <w:t xml:space="preserve"> termes de</w:t>
      </w:r>
      <w:r w:rsidR="002940A5">
        <w:t xml:space="preserve"> recettes</w:t>
      </w:r>
      <w:r w:rsidR="002940A5">
        <w:rPr>
          <w:rStyle w:val="Appelnotedebasdep"/>
        </w:rPr>
        <w:footnoteReference w:id="82"/>
      </w:r>
      <w:r w:rsidR="002940A5">
        <w:t>.</w:t>
      </w:r>
      <w:r w:rsidR="00B83625">
        <w:t xml:space="preserve"> </w:t>
      </w:r>
    </w:p>
    <w:p w14:paraId="4778DB76" w14:textId="3E9D0B92" w:rsidR="00A556C1" w:rsidRDefault="0011382C" w:rsidP="00A556C1">
      <w:pPr>
        <w:spacing w:after="120" w:line="360" w:lineRule="auto"/>
        <w:jc w:val="both"/>
      </w:pPr>
      <w:r>
        <w:t xml:space="preserve">Un accord politique est conclu le 21 mai 1990 </w:t>
      </w:r>
      <w:r w:rsidR="00A553DB">
        <w:t xml:space="preserve">entre </w:t>
      </w:r>
      <w:r>
        <w:t>la Communauté française</w:t>
      </w:r>
      <w:r w:rsidR="00A553DB">
        <w:t xml:space="preserve">, les </w:t>
      </w:r>
      <w:r>
        <w:t xml:space="preserve">Régions wallonne et </w:t>
      </w:r>
      <w:r w:rsidR="00B40A78">
        <w:t>de Bruxelles-Capitale</w:t>
      </w:r>
      <w:r>
        <w:t xml:space="preserve"> ainsi que des membres du gouvernement national</w:t>
      </w:r>
      <w:r w:rsidR="00E5261D">
        <w:t xml:space="preserve"> pour refinancer la Communauté française</w:t>
      </w:r>
      <w:r>
        <w:t>. Une aide de l’Etat</w:t>
      </w:r>
      <w:r w:rsidR="00140790">
        <w:t xml:space="preserve"> national </w:t>
      </w:r>
      <w:r>
        <w:t xml:space="preserve">est prévue sous la forme d’une hausse de la </w:t>
      </w:r>
      <w:r w:rsidR="00140790">
        <w:t xml:space="preserve">part des recettes de la </w:t>
      </w:r>
      <w:r>
        <w:t>redevance radio-télévision</w:t>
      </w:r>
      <w:r w:rsidR="00E5261D">
        <w:t xml:space="preserve"> </w:t>
      </w:r>
      <w:r w:rsidR="00140790">
        <w:t xml:space="preserve">versées aux Communautés </w:t>
      </w:r>
      <w:r w:rsidR="00FD593D">
        <w:t>à laquelle s’ajoute</w:t>
      </w:r>
      <w:r w:rsidR="00B40A78">
        <w:t>nt</w:t>
      </w:r>
      <w:r>
        <w:t xml:space="preserve"> des aides régionales sous la forme d’une prise en charge financière de la gestion de certaines compétences de la Communauté française</w:t>
      </w:r>
      <w:r w:rsidR="000B5CAE">
        <w:rPr>
          <w:rStyle w:val="Appelnotedebasdep"/>
        </w:rPr>
        <w:footnoteReference w:id="83"/>
      </w:r>
      <w:r>
        <w:t>.</w:t>
      </w:r>
      <w:r w:rsidR="00140790">
        <w:t xml:space="preserve"> </w:t>
      </w:r>
      <w:r w:rsidR="001A5196">
        <w:t>L’aide wallonne s’organisa sous la forme d’un accord de coopération</w:t>
      </w:r>
      <w:r w:rsidR="003F04A1">
        <w:t xml:space="preserve"> (signé le 17 novembre 1990)</w:t>
      </w:r>
      <w:r w:rsidR="001A5196">
        <w:t xml:space="preserve"> relatif à l’exercice conjoint de compétences par la Communauté française et la Région </w:t>
      </w:r>
      <w:r w:rsidR="003F04A1">
        <w:t>wallonne</w:t>
      </w:r>
      <w:r w:rsidR="001A5196">
        <w:t xml:space="preserve"> par une contribution supplémentaire de la Région wallonne au </w:t>
      </w:r>
      <w:r w:rsidR="003F04A1">
        <w:t>fonctionnement</w:t>
      </w:r>
      <w:r w:rsidR="001A5196">
        <w:t xml:space="preserve"> de l’Office communautaire et régional de la formation et de l’emploi (F</w:t>
      </w:r>
      <w:r w:rsidR="003F04A1">
        <w:t>OREM</w:t>
      </w:r>
      <w:r w:rsidR="001A5196">
        <w:t>)</w:t>
      </w:r>
      <w:r w:rsidR="000B5CAE">
        <w:rPr>
          <w:rStyle w:val="Appelnotedebasdep"/>
        </w:rPr>
        <w:footnoteReference w:id="84"/>
      </w:r>
      <w:r w:rsidR="001A5196">
        <w:t xml:space="preserve">. </w:t>
      </w:r>
      <w:r w:rsidR="00BA1240">
        <w:t xml:space="preserve">L’accord de coopération </w:t>
      </w:r>
      <w:r w:rsidR="002940A5">
        <w:t xml:space="preserve">permettait la création </w:t>
      </w:r>
      <w:r w:rsidR="002940A5">
        <w:lastRenderedPageBreak/>
        <w:t xml:space="preserve">conjointe de </w:t>
      </w:r>
      <w:r w:rsidR="002940A5" w:rsidRPr="006F35CD">
        <w:t>l’Etablissement</w:t>
      </w:r>
      <w:r w:rsidR="002940A5">
        <w:t xml:space="preserve">, un organisme </w:t>
      </w:r>
      <w:r w:rsidR="00AD79FC">
        <w:t xml:space="preserve">public </w:t>
      </w:r>
      <w:r w:rsidR="002940A5">
        <w:t xml:space="preserve">doté de la personnalité juridique auquel la Communauté </w:t>
      </w:r>
      <w:r w:rsidR="003F04A1">
        <w:t xml:space="preserve">française </w:t>
      </w:r>
      <w:r w:rsidR="002940A5">
        <w:t>déléguait la gestion de certaines compétences liées au tourisme, à la tutelle des CPAS et aux transports scolaires. Il ne s’agissait pas d’un transfert de compétences, puisqu’en échange d’un financement par la Région wallonne</w:t>
      </w:r>
      <w:r w:rsidR="00AD79FC">
        <w:t>,</w:t>
      </w:r>
      <w:r w:rsidR="002940A5">
        <w:t xml:space="preserve"> la Communauté française déléguait une partie de ses responsabilités de gestion non pas à la Région wallonne mais à </w:t>
      </w:r>
      <w:r w:rsidR="002940A5" w:rsidRPr="006F35CD">
        <w:t>l’Etablissement</w:t>
      </w:r>
      <w:r w:rsidR="002940A5">
        <w:t xml:space="preserve">, qui se trouvait sous l’autorité commune de la Région wallonne et de la Communauté française. Le financement de </w:t>
      </w:r>
      <w:r w:rsidR="002940A5" w:rsidRPr="006F35CD">
        <w:t>l’Etablissement</w:t>
      </w:r>
      <w:r w:rsidR="002940A5" w:rsidRPr="00C94FB6">
        <w:rPr>
          <w:i/>
        </w:rPr>
        <w:t xml:space="preserve"> </w:t>
      </w:r>
      <w:r w:rsidR="002940A5">
        <w:t>était à charge des deux entités mais, en pratique, la part la plus importante était à charge du budget wallon.</w:t>
      </w:r>
      <w:r w:rsidR="002940A5" w:rsidRPr="00F45D39">
        <w:t xml:space="preserve"> </w:t>
      </w:r>
      <w:r w:rsidR="002940A5">
        <w:t>En effet</w:t>
      </w:r>
      <w:r w:rsidR="002940A5" w:rsidRPr="006F35CD">
        <w:t xml:space="preserve">, </w:t>
      </w:r>
      <w:r w:rsidR="003F04A1">
        <w:t xml:space="preserve">étant donné que </w:t>
      </w:r>
      <w:r w:rsidR="002940A5" w:rsidRPr="006F35CD">
        <w:t xml:space="preserve">l’objectif de l’accord étant de soutenir financièrement la Communauté française, il </w:t>
      </w:r>
      <w:r w:rsidR="003F04A1">
        <w:t xml:space="preserve">était </w:t>
      </w:r>
      <w:r w:rsidR="002940A5" w:rsidRPr="006F35CD">
        <w:t>évident que les transferts budgétaires n</w:t>
      </w:r>
      <w:r w:rsidR="003F04A1">
        <w:t xml:space="preserve">’étaient </w:t>
      </w:r>
      <w:r w:rsidR="002940A5" w:rsidRPr="006F35CD">
        <w:t xml:space="preserve">pas équilibrés. </w:t>
      </w:r>
      <w:r w:rsidR="00AD79FC">
        <w:t xml:space="preserve">Un deuxième volet portait sur une </w:t>
      </w:r>
      <w:r w:rsidR="002940A5">
        <w:t xml:space="preserve">contribution régionale supplémentaire au financement </w:t>
      </w:r>
      <w:r w:rsidR="003F04A1">
        <w:t xml:space="preserve">du </w:t>
      </w:r>
      <w:r w:rsidR="002940A5" w:rsidRPr="006F35CD">
        <w:t>FOREM</w:t>
      </w:r>
      <w:r w:rsidR="002940A5">
        <w:t>. L’accord fut conclu pour une durée d’un an à partir du 1</w:t>
      </w:r>
      <w:r w:rsidR="002940A5" w:rsidRPr="00682C3C">
        <w:rPr>
          <w:vertAlign w:val="superscript"/>
        </w:rPr>
        <w:t>er</w:t>
      </w:r>
      <w:r w:rsidR="002940A5">
        <w:t xml:space="preserve"> janvier 1991, et était tacitement renouvelé s’il n’était pas dénoncé par l’une des parties.</w:t>
      </w:r>
      <w:r w:rsidR="00A556C1">
        <w:t xml:space="preserve"> Lors des négociations préalables à la constitution du gouvernement wallon issu des élections du 24 novembre 1991, il fut décidé que</w:t>
      </w:r>
      <w:r w:rsidR="00AD79FC">
        <w:t xml:space="preserve"> ces</w:t>
      </w:r>
      <w:r w:rsidR="00A556C1">
        <w:t xml:space="preserve"> mécanismes d’aide financi</w:t>
      </w:r>
      <w:r w:rsidR="00AD79FC">
        <w:t xml:space="preserve">ère </w:t>
      </w:r>
      <w:r w:rsidR="00A556C1">
        <w:t xml:space="preserve">seraient réutilisés et amplifiés. L’accord </w:t>
      </w:r>
      <w:r w:rsidR="00A556C1" w:rsidRPr="00E55B46">
        <w:t xml:space="preserve">prévoyait également que l’Institut francophone de formation professionnelle des classes moyennes </w:t>
      </w:r>
      <w:r w:rsidR="00A556C1">
        <w:t>s</w:t>
      </w:r>
      <w:r w:rsidR="00FD593D">
        <w:t>erait</w:t>
      </w:r>
      <w:r w:rsidR="00A556C1">
        <w:t xml:space="preserve"> transformé en un organisme conjoint à la Communauté française et à la Région wallonne, la Région prenant en charge la moitié de la subvention de la Communauté à cet organisme. Enfin, la Région continuait à intervenir dans les frais communs du </w:t>
      </w:r>
      <w:r w:rsidR="00A556C1" w:rsidRPr="00E55B46">
        <w:t>FOREM</w:t>
      </w:r>
      <w:r w:rsidR="00A556C1">
        <w:t>, non seulement sur la base de l’exercice de ses compétences mais également par une intervention supplémentaire</w:t>
      </w:r>
      <w:r w:rsidR="00A556C1">
        <w:rPr>
          <w:rStyle w:val="Appelnotedebasdep"/>
        </w:rPr>
        <w:footnoteReference w:id="85"/>
      </w:r>
      <w:r w:rsidR="00A556C1">
        <w:t xml:space="preserve">. </w:t>
      </w:r>
    </w:p>
    <w:p w14:paraId="02881D41" w14:textId="6D23B12F" w:rsidR="00A556C1" w:rsidRDefault="00A556C1" w:rsidP="00A556C1">
      <w:pPr>
        <w:spacing w:after="120" w:line="360" w:lineRule="auto"/>
        <w:jc w:val="both"/>
      </w:pPr>
      <w:r>
        <w:t xml:space="preserve">Parallèlement, l’aide de la Région de Bruxelles-Capitale mit en évidence des enjeux politiques et institutionnels spécifiques. Le problème était que, si la Région acceptait d’inscrire un montant à son budget pour aider la Communauté française, elle devait également en inscrire un en faveur des Flamands de Bruxelles. Ainsi, aucun accord formel n’intervint entre la Communauté française et la Région de Bruxelles-Capitale. Cependant, il fut prévu, au budget de la Région pour 1991, une aide financière pour la prise en charge par la Région </w:t>
      </w:r>
      <w:r w:rsidR="00D743F6">
        <w:t xml:space="preserve">bruxelloise </w:t>
      </w:r>
      <w:r>
        <w:t xml:space="preserve">des dépenses non effectuées par la Communauté </w:t>
      </w:r>
      <w:r w:rsidR="00F51860">
        <w:t xml:space="preserve">française </w:t>
      </w:r>
      <w:r>
        <w:t xml:space="preserve">dans le domaine des infrastructures sportives communales et des infrastructures participant à l’image nationale et internationale de Bruxelles. Les matières choisies pour cette prise en charge le furent en vertu du caractère bilingue des bénéficiaires de ces infrastructures. Néanmoins, une compensation financière fut prévue pour les Flamands de </w:t>
      </w:r>
      <w:r>
        <w:lastRenderedPageBreak/>
        <w:t>Bruxelles. En 1992, une nouvelle aide fut prévue pour permettre le financement des infrastructures sportives communales destinées à l’ensemble des Bruxellois.</w:t>
      </w:r>
    </w:p>
    <w:p w14:paraId="5821CFA3" w14:textId="285C8314" w:rsidR="00C50A69" w:rsidRPr="00A55CD4" w:rsidRDefault="00C50A69" w:rsidP="00A72528">
      <w:pPr>
        <w:pStyle w:val="Titre3"/>
      </w:pPr>
      <w:bookmarkStart w:id="17" w:name="_Toc96081451"/>
      <w:r w:rsidRPr="00A55CD4">
        <w:t>Le refinancement francophone de la Communauté française en 1993</w:t>
      </w:r>
      <w:r w:rsidR="00D04F5D" w:rsidRPr="00A55CD4">
        <w:t xml:space="preserve"> (transfert de compétences à la Région wallonne et la C</w:t>
      </w:r>
      <w:r w:rsidR="003E0E8C" w:rsidRPr="00A55CD4">
        <w:t>OCOF</w:t>
      </w:r>
      <w:r w:rsidR="00D04F5D" w:rsidRPr="00A55CD4">
        <w:t>)</w:t>
      </w:r>
      <w:bookmarkEnd w:id="17"/>
    </w:p>
    <w:p w14:paraId="659566E6" w14:textId="0A6C711F" w:rsidR="00A556C1" w:rsidRDefault="00A556C1" w:rsidP="00A556C1">
      <w:pPr>
        <w:spacing w:after="120" w:line="360" w:lineRule="auto"/>
        <w:jc w:val="both"/>
      </w:pPr>
      <w:r>
        <w:t xml:space="preserve">Même si la Communauté française voyait ses moyens s’accroître de façon importante </w:t>
      </w:r>
      <w:r w:rsidR="008B1E8C">
        <w:t>dans le cadre de la réforme institutionnel</w:t>
      </w:r>
      <w:r w:rsidR="009C383A">
        <w:t>le</w:t>
      </w:r>
      <w:r w:rsidR="008B1E8C">
        <w:t xml:space="preserve"> de 1993, l</w:t>
      </w:r>
      <w:r>
        <w:t xml:space="preserve">es simulations faisaient toujours apparaître </w:t>
      </w:r>
      <w:r w:rsidR="008B1E8C">
        <w:t xml:space="preserve">une situation financière insoutenable. </w:t>
      </w:r>
      <w:r>
        <w:t>Cet état de faillite virtuel</w:t>
      </w:r>
      <w:r w:rsidR="00D743F6">
        <w:t>le</w:t>
      </w:r>
      <w:r>
        <w:t xml:space="preserve"> justifia l’urgence d’une négociation intra-francophone</w:t>
      </w:r>
      <w:r w:rsidR="008B1E8C">
        <w:t xml:space="preserve"> </w:t>
      </w:r>
      <w:r>
        <w:t>: l’accord de la Saint-Quentin</w:t>
      </w:r>
      <w:r w:rsidRPr="0098026F">
        <w:t xml:space="preserve"> </w:t>
      </w:r>
      <w:r>
        <w:t>du 31 octobre 1992</w:t>
      </w:r>
      <w:r>
        <w:rPr>
          <w:rStyle w:val="Appelnotedebasdep"/>
        </w:rPr>
        <w:footnoteReference w:id="86"/>
      </w:r>
      <w:r>
        <w:t xml:space="preserve">. Cet accord établissait deux formes d’intervention régionale en faveur de la Communauté française. La première, la vente des bâtiments scolaires, devait permettre à la Communauté française de faire face aux déficits immédiats des années 1993 à 1996. La seconde s’inscrivait dans le long terme par le transfert de </w:t>
      </w:r>
      <w:r w:rsidR="00D743F6">
        <w:t xml:space="preserve">l’exercice de </w:t>
      </w:r>
      <w:r>
        <w:t xml:space="preserve">compétences de la Communauté française à la Région wallonne et </w:t>
      </w:r>
      <w:r w:rsidR="00D743F6">
        <w:t xml:space="preserve">à </w:t>
      </w:r>
      <w:r>
        <w:t>la Commission communautaire française</w:t>
      </w:r>
      <w:r>
        <w:rPr>
          <w:rStyle w:val="Appelnotedebasdep"/>
        </w:rPr>
        <w:footnoteReference w:id="87"/>
      </w:r>
      <w:r>
        <w:t>.</w:t>
      </w:r>
    </w:p>
    <w:p w14:paraId="1B5CD4DF" w14:textId="44C95CF5" w:rsidR="000C3265" w:rsidRDefault="00FA332A" w:rsidP="00CE7705">
      <w:pPr>
        <w:spacing w:after="120" w:line="360" w:lineRule="auto"/>
        <w:jc w:val="both"/>
      </w:pPr>
      <w:r>
        <w:t xml:space="preserve">L'article 138 de la Constitution (introduit lors de la réforme institutionnelle de 1993) permettait aux </w:t>
      </w:r>
      <w:r w:rsidR="004D541C">
        <w:t>Régions wallonne et bruxelloise d’aider financièrement la Communauté française sans « fusionner </w:t>
      </w:r>
      <w:r w:rsidR="004D541C" w:rsidRPr="00F50BAA">
        <w:rPr>
          <w:szCs w:val="24"/>
        </w:rPr>
        <w:t>» les entités francophones</w:t>
      </w:r>
      <w:r w:rsidRPr="00F50BAA">
        <w:rPr>
          <w:szCs w:val="24"/>
        </w:rPr>
        <w:t>.</w:t>
      </w:r>
      <w:r w:rsidR="008B1E8C" w:rsidRPr="00F50BAA">
        <w:rPr>
          <w:szCs w:val="24"/>
        </w:rPr>
        <w:t xml:space="preserve"> </w:t>
      </w:r>
      <w:r w:rsidRPr="00F50BAA">
        <w:rPr>
          <w:szCs w:val="24"/>
        </w:rPr>
        <w:t xml:space="preserve">La </w:t>
      </w:r>
      <w:r w:rsidR="004D541C" w:rsidRPr="00F50BAA">
        <w:rPr>
          <w:szCs w:val="24"/>
        </w:rPr>
        <w:t xml:space="preserve">Communauté française </w:t>
      </w:r>
      <w:r w:rsidR="008B1E8C" w:rsidRPr="00F50BAA">
        <w:rPr>
          <w:szCs w:val="24"/>
        </w:rPr>
        <w:t>pouvait désormais transférer</w:t>
      </w:r>
      <w:r w:rsidR="004D541C" w:rsidRPr="00F50BAA">
        <w:rPr>
          <w:szCs w:val="24"/>
        </w:rPr>
        <w:t xml:space="preserve"> à la Région wallonne et à la </w:t>
      </w:r>
      <w:r w:rsidR="00093B3F" w:rsidRPr="00F50BAA">
        <w:rPr>
          <w:szCs w:val="24"/>
        </w:rPr>
        <w:t>COCOF</w:t>
      </w:r>
      <w:r w:rsidR="004D541C" w:rsidRPr="00F50BAA">
        <w:rPr>
          <w:szCs w:val="24"/>
        </w:rPr>
        <w:t xml:space="preserve"> </w:t>
      </w:r>
      <w:r w:rsidR="008B1E8C" w:rsidRPr="00F50BAA">
        <w:rPr>
          <w:szCs w:val="24"/>
        </w:rPr>
        <w:t>l’exercice d’</w:t>
      </w:r>
      <w:r w:rsidR="004D541C" w:rsidRPr="00F50BAA">
        <w:rPr>
          <w:szCs w:val="24"/>
        </w:rPr>
        <w:t>une partie de ses compétences</w:t>
      </w:r>
      <w:r w:rsidR="004D541C" w:rsidRPr="00F50BAA">
        <w:rPr>
          <w:rStyle w:val="Appelnotedebasdep"/>
          <w:szCs w:val="24"/>
        </w:rPr>
        <w:footnoteReference w:id="88"/>
      </w:r>
      <w:r w:rsidR="00176258" w:rsidRPr="00F50BAA">
        <w:rPr>
          <w:szCs w:val="24"/>
        </w:rPr>
        <w:t xml:space="preserve">. </w:t>
      </w:r>
      <w:r w:rsidR="00F50BAA" w:rsidRPr="00F50BAA">
        <w:rPr>
          <w:szCs w:val="24"/>
        </w:rPr>
        <w:t xml:space="preserve">En Région de Bruxelles-Capitale, le Conseil régional, institution bilingue, ne pouvait </w:t>
      </w:r>
      <w:r w:rsidR="000C3265" w:rsidRPr="00F50BAA">
        <w:rPr>
          <w:color w:val="231F20"/>
          <w:szCs w:val="24"/>
          <w:shd w:val="clear" w:color="auto" w:fill="FFFFFF"/>
        </w:rPr>
        <w:t>exercer des compétences communautaires francophones. Pour cette raison, c'est la C</w:t>
      </w:r>
      <w:r w:rsidR="00F51860">
        <w:rPr>
          <w:color w:val="231F20"/>
          <w:szCs w:val="24"/>
          <w:shd w:val="clear" w:color="auto" w:fill="FFFFFF"/>
        </w:rPr>
        <w:t>OCOF</w:t>
      </w:r>
      <w:r w:rsidR="000C3265" w:rsidRPr="00F50BAA">
        <w:rPr>
          <w:color w:val="231F20"/>
          <w:szCs w:val="24"/>
          <w:shd w:val="clear" w:color="auto" w:fill="FFFFFF"/>
        </w:rPr>
        <w:t xml:space="preserve"> qui s'est vu</w:t>
      </w:r>
      <w:r w:rsidR="00B40A78">
        <w:rPr>
          <w:color w:val="231F20"/>
          <w:szCs w:val="24"/>
          <w:shd w:val="clear" w:color="auto" w:fill="FFFFFF"/>
        </w:rPr>
        <w:t>e</w:t>
      </w:r>
      <w:r w:rsidR="000C3265" w:rsidRPr="00F50BAA">
        <w:rPr>
          <w:color w:val="231F20"/>
          <w:szCs w:val="24"/>
          <w:shd w:val="clear" w:color="auto" w:fill="FFFFFF"/>
        </w:rPr>
        <w:t xml:space="preserve"> attribuer l'exercice des compétences transféré</w:t>
      </w:r>
      <w:r w:rsidR="00B40A78">
        <w:rPr>
          <w:rStyle w:val="Appelnotedebasdep"/>
          <w:color w:val="231F20"/>
          <w:szCs w:val="24"/>
          <w:shd w:val="clear" w:color="auto" w:fill="FFFFFF"/>
        </w:rPr>
        <w:footnoteReference w:id="89"/>
      </w:r>
      <w:r w:rsidR="000C3265" w:rsidRPr="00F50BAA">
        <w:rPr>
          <w:color w:val="231F20"/>
          <w:szCs w:val="24"/>
          <w:shd w:val="clear" w:color="auto" w:fill="FFFFFF"/>
        </w:rPr>
        <w:t xml:space="preserve"> de la Communauté française</w:t>
      </w:r>
      <w:r w:rsidR="009851FA">
        <w:rPr>
          <w:rStyle w:val="Appelnotedebasdep"/>
          <w:color w:val="231F20"/>
          <w:szCs w:val="24"/>
          <w:shd w:val="clear" w:color="auto" w:fill="FFFFFF"/>
        </w:rPr>
        <w:footnoteReference w:id="90"/>
      </w:r>
      <w:r w:rsidR="000C3265" w:rsidRPr="00F50BAA">
        <w:rPr>
          <w:color w:val="231F20"/>
          <w:szCs w:val="24"/>
          <w:shd w:val="clear" w:color="auto" w:fill="FFFFFF"/>
        </w:rPr>
        <w:t xml:space="preserve"> </w:t>
      </w:r>
      <w:r w:rsidR="00F50BAA">
        <w:rPr>
          <w:color w:val="231F20"/>
          <w:szCs w:val="24"/>
          <w:shd w:val="clear" w:color="auto" w:fill="FFFFFF"/>
        </w:rPr>
        <w:t>.</w:t>
      </w:r>
    </w:p>
    <w:p w14:paraId="08EE0398" w14:textId="53AF9A7C" w:rsidR="00CE7705" w:rsidRDefault="00093B3F" w:rsidP="00CE7705">
      <w:pPr>
        <w:spacing w:after="120" w:line="360" w:lineRule="auto"/>
        <w:jc w:val="both"/>
        <w:rPr>
          <w:color w:val="231F20"/>
          <w:szCs w:val="24"/>
          <w:shd w:val="clear" w:color="auto" w:fill="FFFFFF"/>
        </w:rPr>
      </w:pPr>
      <w:r>
        <w:t xml:space="preserve">Ce transfert porte sur des matières scolaires (bâtiments scolaires et transport scolaire), culturelles (infrastructures concernant l’éducation physique, le sport et la vie en plein air, le tourisme, la formation professionnelle et la promotion sociale), de santé (services de santé mentale, maisons médicales, centre de coordination des soins et services à domicile, habitations protégées, centres de télé-accueil) et d’aide aux personnes (politique familiale, politique d’aide sociale, politique d’accueil et d’intégration des immigrés, politique des handicapés, politique du troisième âge). </w:t>
      </w:r>
      <w:r w:rsidR="00F55473">
        <w:rPr>
          <w:color w:val="231F20"/>
          <w:szCs w:val="24"/>
          <w:shd w:val="clear" w:color="auto" w:fill="FFFFFF"/>
        </w:rPr>
        <w:t>La</w:t>
      </w:r>
      <w:r w:rsidRPr="00093B3F">
        <w:rPr>
          <w:color w:val="231F20"/>
          <w:szCs w:val="24"/>
          <w:shd w:val="clear" w:color="auto" w:fill="FFFFFF"/>
        </w:rPr>
        <w:t xml:space="preserve"> </w:t>
      </w:r>
      <w:r w:rsidRPr="00093B3F">
        <w:rPr>
          <w:color w:val="231F20"/>
          <w:szCs w:val="24"/>
          <w:shd w:val="clear" w:color="auto" w:fill="FFFFFF"/>
        </w:rPr>
        <w:lastRenderedPageBreak/>
        <w:t xml:space="preserve">COCOF obtient </w:t>
      </w:r>
      <w:r w:rsidR="00F55473">
        <w:rPr>
          <w:color w:val="231F20"/>
          <w:szCs w:val="24"/>
          <w:shd w:val="clear" w:color="auto" w:fill="FFFFFF"/>
        </w:rPr>
        <w:t xml:space="preserve">ainsi </w:t>
      </w:r>
      <w:r w:rsidRPr="00093B3F">
        <w:rPr>
          <w:color w:val="231F20"/>
          <w:szCs w:val="24"/>
          <w:shd w:val="clear" w:color="auto" w:fill="FFFFFF"/>
        </w:rPr>
        <w:t xml:space="preserve">le pouvoir de légiférer dans les matières transférées et est désormais non seulement une autorité décentralisée sous la tutelle de la Communauté française mais </w:t>
      </w:r>
      <w:r>
        <w:rPr>
          <w:color w:val="231F20"/>
          <w:szCs w:val="24"/>
          <w:shd w:val="clear" w:color="auto" w:fill="FFFFFF"/>
        </w:rPr>
        <w:t xml:space="preserve">aussi </w:t>
      </w:r>
      <w:r w:rsidRPr="00093B3F">
        <w:rPr>
          <w:color w:val="231F20"/>
          <w:szCs w:val="24"/>
          <w:shd w:val="clear" w:color="auto" w:fill="FFFFFF"/>
        </w:rPr>
        <w:t>une collectivité politique fédérée jouissant de la même autonomie que les autres entités</w:t>
      </w:r>
      <w:r w:rsidRPr="00093B3F">
        <w:rPr>
          <w:rStyle w:val="Appelnotedebasdep"/>
          <w:color w:val="231F20"/>
          <w:szCs w:val="24"/>
          <w:shd w:val="clear" w:color="auto" w:fill="FFFFFF"/>
        </w:rPr>
        <w:footnoteReference w:id="91"/>
      </w:r>
      <w:r>
        <w:rPr>
          <w:color w:val="231F20"/>
          <w:szCs w:val="24"/>
          <w:shd w:val="clear" w:color="auto" w:fill="FFFFFF"/>
        </w:rPr>
        <w:t xml:space="preserve"> (contrairement à la Commission communautaire flamande).</w:t>
      </w:r>
    </w:p>
    <w:p w14:paraId="72798D45" w14:textId="356CAFD7" w:rsidR="00C017A1" w:rsidRPr="00007105" w:rsidRDefault="00176258" w:rsidP="00C017A1">
      <w:pPr>
        <w:spacing w:after="120" w:line="360" w:lineRule="auto"/>
        <w:jc w:val="both"/>
      </w:pPr>
      <w:r>
        <w:rPr>
          <w:color w:val="231F20"/>
          <w:szCs w:val="24"/>
          <w:shd w:val="clear" w:color="auto" w:fill="FFFFFF"/>
        </w:rPr>
        <w:t>L'</w:t>
      </w:r>
      <w:r w:rsidRPr="00176258">
        <w:rPr>
          <w:color w:val="231F20"/>
          <w:szCs w:val="24"/>
          <w:shd w:val="clear" w:color="auto" w:fill="FFFFFF"/>
        </w:rPr>
        <w:t>objectif majeur du transfert des compétences est qu’il n’est accompagné que d’un transfert partiel des moyens qui étaient affectés par la Communauté française à la gestion de ces matières</w:t>
      </w:r>
      <w:r w:rsidR="009851FA">
        <w:rPr>
          <w:rStyle w:val="Appelnotedebasdep"/>
          <w:color w:val="231F20"/>
          <w:szCs w:val="24"/>
          <w:shd w:val="clear" w:color="auto" w:fill="FFFFFF"/>
        </w:rPr>
        <w:footnoteReference w:id="92"/>
      </w:r>
      <w:r w:rsidR="00093B3F">
        <w:rPr>
          <w:color w:val="231F20"/>
          <w:szCs w:val="24"/>
          <w:shd w:val="clear" w:color="auto" w:fill="FFFFFF"/>
        </w:rPr>
        <w:t>, le solde constituant le refinancement régional de la Communauté française</w:t>
      </w:r>
      <w:r w:rsidR="009851FA">
        <w:rPr>
          <w:rStyle w:val="Appelnotedebasdep"/>
          <w:color w:val="231F20"/>
          <w:szCs w:val="24"/>
          <w:shd w:val="clear" w:color="auto" w:fill="FFFFFF"/>
        </w:rPr>
        <w:footnoteReference w:id="93"/>
      </w:r>
      <w:r w:rsidR="009851FA">
        <w:rPr>
          <w:color w:val="231F20"/>
          <w:szCs w:val="24"/>
          <w:shd w:val="clear" w:color="auto" w:fill="FFFFFF"/>
        </w:rPr>
        <w:t>.</w:t>
      </w:r>
      <w:r w:rsidRPr="00176258">
        <w:rPr>
          <w:color w:val="231F20"/>
          <w:szCs w:val="24"/>
          <w:shd w:val="clear" w:color="auto" w:fill="FFFFFF"/>
        </w:rPr>
        <w:t xml:space="preserve"> </w:t>
      </w:r>
      <w:r w:rsidR="00CE7705">
        <w:t>P</w:t>
      </w:r>
      <w:r w:rsidR="004D541C">
        <w:t xml:space="preserve">our financer </w:t>
      </w:r>
      <w:r w:rsidR="008B1E8C">
        <w:t>une</w:t>
      </w:r>
      <w:r w:rsidR="004D541C">
        <w:t xml:space="preserve"> partie</w:t>
      </w:r>
      <w:r w:rsidR="008B1E8C">
        <w:t xml:space="preserve"> de</w:t>
      </w:r>
      <w:r w:rsidR="004D541C">
        <w:t xml:space="preserve"> ces compétences, la Communauté française verse des dotations à la Région wallonne et à la </w:t>
      </w:r>
      <w:r w:rsidR="00F55473">
        <w:t>COCOF</w:t>
      </w:r>
      <w:r w:rsidR="004D541C">
        <w:t xml:space="preserve">. Pour le surplus, ce transfert de compétences </w:t>
      </w:r>
      <w:r w:rsidR="004D541C" w:rsidRPr="009E1BBB">
        <w:rPr>
          <w:szCs w:val="24"/>
        </w:rPr>
        <w:t>« </w:t>
      </w:r>
      <w:r w:rsidR="004D541C" w:rsidRPr="00030534">
        <w:rPr>
          <w:szCs w:val="24"/>
        </w:rPr>
        <w:t>conduit à solliciter, pour partie du moins, les ressources propres, et notamment la fiscalité propre, des entités qui reprennent les compétences transférées</w:t>
      </w:r>
      <w:r w:rsidR="005A7E04">
        <w:rPr>
          <w:szCs w:val="24"/>
        </w:rPr>
        <w:t> »</w:t>
      </w:r>
      <w:r w:rsidR="004D541C" w:rsidRPr="00030534">
        <w:rPr>
          <w:szCs w:val="24"/>
        </w:rPr>
        <w:t xml:space="preserve">. </w:t>
      </w:r>
      <w:r w:rsidR="00C017A1">
        <w:rPr>
          <w:szCs w:val="24"/>
        </w:rPr>
        <w:t xml:space="preserve">Par ailleurs, le mécanisme d’indexation de cette dotation visait à garantir </w:t>
      </w:r>
      <w:r w:rsidR="00C017A1">
        <w:t>« une</w:t>
      </w:r>
      <w:r w:rsidR="00C017A1" w:rsidRPr="00D774AE">
        <w:t xml:space="preserve"> croissance annuelle moyenne de 1 % en termes réels des moyens financiers affectés par l’ensemble des pouvoirs publics au financement des compétences actuelles de la Communauté française</w:t>
      </w:r>
      <w:r w:rsidR="00C017A1">
        <w:t> »</w:t>
      </w:r>
      <w:r w:rsidR="00C017A1" w:rsidRPr="00D774AE">
        <w:t xml:space="preserve">. </w:t>
      </w:r>
      <w:r w:rsidR="004D541C" w:rsidRPr="00030534">
        <w:rPr>
          <w:szCs w:val="24"/>
        </w:rPr>
        <w:t xml:space="preserve">La chose </w:t>
      </w:r>
      <w:r w:rsidR="001135BC">
        <w:rPr>
          <w:szCs w:val="24"/>
        </w:rPr>
        <w:t xml:space="preserve">était </w:t>
      </w:r>
      <w:r w:rsidR="004D541C" w:rsidRPr="00030534">
        <w:rPr>
          <w:szCs w:val="24"/>
        </w:rPr>
        <w:t xml:space="preserve">simple </w:t>
      </w:r>
      <w:r w:rsidR="001135BC">
        <w:rPr>
          <w:szCs w:val="24"/>
        </w:rPr>
        <w:t>du côté de la</w:t>
      </w:r>
      <w:r w:rsidR="004D541C" w:rsidRPr="00030534">
        <w:rPr>
          <w:szCs w:val="24"/>
        </w:rPr>
        <w:t xml:space="preserve"> Région wallonne. Elle </w:t>
      </w:r>
      <w:r w:rsidR="00F55473">
        <w:rPr>
          <w:szCs w:val="24"/>
        </w:rPr>
        <w:t>était</w:t>
      </w:r>
      <w:r w:rsidR="004D541C" w:rsidRPr="00030534">
        <w:rPr>
          <w:szCs w:val="24"/>
        </w:rPr>
        <w:t xml:space="preserve"> complexe </w:t>
      </w:r>
      <w:r w:rsidR="001135BC">
        <w:rPr>
          <w:szCs w:val="24"/>
        </w:rPr>
        <w:t>pour</w:t>
      </w:r>
      <w:r w:rsidR="004D541C" w:rsidRPr="00030534">
        <w:rPr>
          <w:szCs w:val="24"/>
        </w:rPr>
        <w:t xml:space="preserve"> la </w:t>
      </w:r>
      <w:r w:rsidR="00E5261D">
        <w:rPr>
          <w:szCs w:val="24"/>
        </w:rPr>
        <w:t>COCOF</w:t>
      </w:r>
      <w:r w:rsidR="004D541C" w:rsidRPr="00030534">
        <w:rPr>
          <w:szCs w:val="24"/>
        </w:rPr>
        <w:t xml:space="preserve">. </w:t>
      </w:r>
      <w:r w:rsidR="00CE7705">
        <w:rPr>
          <w:szCs w:val="24"/>
        </w:rPr>
        <w:t>L</w:t>
      </w:r>
      <w:r w:rsidR="00CE7705" w:rsidRPr="00CE7705">
        <w:rPr>
          <w:color w:val="231F20"/>
          <w:szCs w:val="24"/>
          <w:shd w:val="clear" w:color="auto" w:fill="FFFFFF"/>
        </w:rPr>
        <w:t>e transfert de l’exercice de compétences de la Communauté à la C</w:t>
      </w:r>
      <w:r w:rsidR="00CE7705">
        <w:rPr>
          <w:color w:val="231F20"/>
          <w:szCs w:val="24"/>
          <w:shd w:val="clear" w:color="auto" w:fill="FFFFFF"/>
        </w:rPr>
        <w:t>OCOF l’a, en effet, p</w:t>
      </w:r>
      <w:r w:rsidR="00CE7705" w:rsidRPr="00CE7705">
        <w:rPr>
          <w:color w:val="231F20"/>
          <w:szCs w:val="24"/>
          <w:shd w:val="clear" w:color="auto" w:fill="FFFFFF"/>
        </w:rPr>
        <w:t>lacé</w:t>
      </w:r>
      <w:r w:rsidR="00CE7705">
        <w:rPr>
          <w:color w:val="231F20"/>
          <w:szCs w:val="24"/>
          <w:shd w:val="clear" w:color="auto" w:fill="FFFFFF"/>
        </w:rPr>
        <w:t>e</w:t>
      </w:r>
      <w:r w:rsidR="00CE7705" w:rsidRPr="00CE7705">
        <w:rPr>
          <w:color w:val="231F20"/>
          <w:szCs w:val="24"/>
          <w:shd w:val="clear" w:color="auto" w:fill="FFFFFF"/>
        </w:rPr>
        <w:t xml:space="preserve"> </w:t>
      </w:r>
      <w:r w:rsidR="00CE7705">
        <w:rPr>
          <w:color w:val="231F20"/>
          <w:szCs w:val="24"/>
          <w:shd w:val="clear" w:color="auto" w:fill="FFFFFF"/>
        </w:rPr>
        <w:t xml:space="preserve">dans une situation financière difficile puisqu’elle est </w:t>
      </w:r>
      <w:r w:rsidR="00CE7705" w:rsidRPr="00CE7705">
        <w:rPr>
          <w:color w:val="231F20"/>
          <w:szCs w:val="24"/>
          <w:shd w:val="clear" w:color="auto" w:fill="FFFFFF"/>
        </w:rPr>
        <w:t>dénuée de pouvoir fiscal. Un nouveau déclois</w:t>
      </w:r>
      <w:r w:rsidR="00CE7705">
        <w:rPr>
          <w:color w:val="231F20"/>
          <w:szCs w:val="24"/>
          <w:shd w:val="clear" w:color="auto" w:fill="FFFFFF"/>
        </w:rPr>
        <w:t>onn</w:t>
      </w:r>
      <w:r w:rsidR="00CE7705" w:rsidRPr="00CE7705">
        <w:rPr>
          <w:color w:val="231F20"/>
          <w:szCs w:val="24"/>
          <w:shd w:val="clear" w:color="auto" w:fill="FFFFFF"/>
        </w:rPr>
        <w:t xml:space="preserve">ement budgétaire a </w:t>
      </w:r>
      <w:r w:rsidR="00CE7705">
        <w:rPr>
          <w:color w:val="231F20"/>
          <w:szCs w:val="24"/>
          <w:shd w:val="clear" w:color="auto" w:fill="FFFFFF"/>
        </w:rPr>
        <w:t xml:space="preserve">donc </w:t>
      </w:r>
      <w:r w:rsidR="00AB0080">
        <w:rPr>
          <w:color w:val="231F20"/>
          <w:szCs w:val="24"/>
          <w:shd w:val="clear" w:color="auto" w:fill="FFFFFF"/>
        </w:rPr>
        <w:t>été prévu par la Constitution (art. 178)</w:t>
      </w:r>
      <w:r w:rsidR="00CE7705" w:rsidRPr="00CE7705">
        <w:rPr>
          <w:color w:val="231F20"/>
          <w:szCs w:val="24"/>
          <w:shd w:val="clear" w:color="auto" w:fill="FFFFFF"/>
        </w:rPr>
        <w:t xml:space="preserve"> sous la forme d’un droit de tirage de la </w:t>
      </w:r>
      <w:r w:rsidR="00CE7705">
        <w:rPr>
          <w:color w:val="231F20"/>
          <w:szCs w:val="24"/>
          <w:shd w:val="clear" w:color="auto" w:fill="FFFFFF"/>
        </w:rPr>
        <w:t xml:space="preserve">COCOF </w:t>
      </w:r>
      <w:r w:rsidR="009A2E42">
        <w:rPr>
          <w:color w:val="231F20"/>
          <w:szCs w:val="24"/>
          <w:shd w:val="clear" w:color="auto" w:fill="FFFFFF"/>
        </w:rPr>
        <w:t xml:space="preserve">à charge du </w:t>
      </w:r>
      <w:r w:rsidR="00CE7705" w:rsidRPr="00CE7705">
        <w:rPr>
          <w:color w:val="231F20"/>
          <w:szCs w:val="24"/>
          <w:shd w:val="clear" w:color="auto" w:fill="FFFFFF"/>
        </w:rPr>
        <w:t xml:space="preserve">budget de la Région de </w:t>
      </w:r>
      <w:r w:rsidR="00CE7705">
        <w:rPr>
          <w:color w:val="231F20"/>
          <w:szCs w:val="24"/>
          <w:shd w:val="clear" w:color="auto" w:fill="FFFFFF"/>
        </w:rPr>
        <w:t>Bruxelles-Capitale</w:t>
      </w:r>
      <w:r w:rsidR="00F42134">
        <w:rPr>
          <w:color w:val="231F20"/>
          <w:szCs w:val="24"/>
          <w:shd w:val="clear" w:color="auto" w:fill="FFFFFF"/>
        </w:rPr>
        <w:t xml:space="preserve">. </w:t>
      </w:r>
      <w:r w:rsidR="00FD593D">
        <w:rPr>
          <w:szCs w:val="24"/>
        </w:rPr>
        <w:t>Ainsi</w:t>
      </w:r>
      <w:r w:rsidR="009A2E42">
        <w:rPr>
          <w:szCs w:val="24"/>
        </w:rPr>
        <w:t>, l</w:t>
      </w:r>
      <w:r w:rsidR="009A2E42" w:rsidRPr="009A2E42">
        <w:rPr>
          <w:color w:val="231F20"/>
          <w:szCs w:val="24"/>
          <w:shd w:val="clear" w:color="auto" w:fill="FFFFFF"/>
        </w:rPr>
        <w:t xml:space="preserve">orsqu’une des </w:t>
      </w:r>
      <w:r w:rsidR="009A2E42">
        <w:rPr>
          <w:color w:val="231F20"/>
          <w:szCs w:val="24"/>
          <w:shd w:val="clear" w:color="auto" w:fill="FFFFFF"/>
        </w:rPr>
        <w:t>C</w:t>
      </w:r>
      <w:r w:rsidR="009A2E42" w:rsidRPr="009A2E42">
        <w:rPr>
          <w:color w:val="231F20"/>
          <w:szCs w:val="24"/>
          <w:shd w:val="clear" w:color="auto" w:fill="FFFFFF"/>
        </w:rPr>
        <w:t xml:space="preserve">ommissions fait usage de son droit de tirage, l’autre reçoit automatiquement une somme proportionnelle à la clé de répartition </w:t>
      </w:r>
      <w:r w:rsidR="00F55473">
        <w:rPr>
          <w:color w:val="231F20"/>
          <w:szCs w:val="24"/>
          <w:shd w:val="clear" w:color="auto" w:fill="FFFFFF"/>
        </w:rPr>
        <w:t>« </w:t>
      </w:r>
      <w:r w:rsidR="009A2E42" w:rsidRPr="009A2E42">
        <w:rPr>
          <w:color w:val="231F20"/>
          <w:szCs w:val="24"/>
          <w:shd w:val="clear" w:color="auto" w:fill="FFFFFF"/>
        </w:rPr>
        <w:t>80/20</w:t>
      </w:r>
      <w:r w:rsidR="00F55473">
        <w:rPr>
          <w:color w:val="231F20"/>
          <w:szCs w:val="24"/>
          <w:shd w:val="clear" w:color="auto" w:fill="FFFFFF"/>
        </w:rPr>
        <w:t> »</w:t>
      </w:r>
      <w:r w:rsidR="009A2E42" w:rsidRPr="009A2E42">
        <w:rPr>
          <w:color w:val="231F20"/>
          <w:szCs w:val="24"/>
          <w:shd w:val="clear" w:color="auto" w:fill="FFFFFF"/>
        </w:rPr>
        <w:t>.</w:t>
      </w:r>
      <w:r w:rsidR="009A2E42">
        <w:rPr>
          <w:color w:val="231F20"/>
          <w:szCs w:val="24"/>
          <w:shd w:val="clear" w:color="auto" w:fill="FFFFFF"/>
        </w:rPr>
        <w:t xml:space="preserve"> </w:t>
      </w:r>
      <w:r w:rsidR="00CE7705" w:rsidRPr="00CE7705">
        <w:rPr>
          <w:color w:val="231F20"/>
          <w:szCs w:val="24"/>
          <w:shd w:val="clear" w:color="auto" w:fill="FFFFFF"/>
        </w:rPr>
        <w:t xml:space="preserve">Ce montage </w:t>
      </w:r>
      <w:r w:rsidR="00FD593D">
        <w:rPr>
          <w:color w:val="231F20"/>
          <w:szCs w:val="24"/>
          <w:shd w:val="clear" w:color="auto" w:fill="FFFFFF"/>
        </w:rPr>
        <w:t>enrichit</w:t>
      </w:r>
      <w:r w:rsidR="005914B8">
        <w:rPr>
          <w:color w:val="231F20"/>
          <w:szCs w:val="24"/>
          <w:shd w:val="clear" w:color="auto" w:fill="FFFFFF"/>
        </w:rPr>
        <w:t xml:space="preserve">, </w:t>
      </w:r>
      <w:r w:rsidR="005914B8" w:rsidRPr="009851FA">
        <w:rPr>
          <w:i/>
          <w:iCs/>
          <w:color w:val="231F20"/>
          <w:szCs w:val="24"/>
          <w:shd w:val="clear" w:color="auto" w:fill="FFFFFF"/>
        </w:rPr>
        <w:t>de facto</w:t>
      </w:r>
      <w:r w:rsidR="005914B8">
        <w:rPr>
          <w:color w:val="231F20"/>
          <w:szCs w:val="24"/>
          <w:shd w:val="clear" w:color="auto" w:fill="FFFFFF"/>
        </w:rPr>
        <w:t>,</w:t>
      </w:r>
      <w:r w:rsidR="00CE7705" w:rsidRPr="00CE7705">
        <w:rPr>
          <w:color w:val="231F20"/>
          <w:szCs w:val="24"/>
          <w:shd w:val="clear" w:color="auto" w:fill="FFFFFF"/>
        </w:rPr>
        <w:t xml:space="preserve"> la</w:t>
      </w:r>
      <w:r w:rsidR="00CE7705">
        <w:rPr>
          <w:color w:val="231F20"/>
          <w:szCs w:val="24"/>
          <w:shd w:val="clear" w:color="auto" w:fill="FFFFFF"/>
        </w:rPr>
        <w:t xml:space="preserve"> Commission communautaire flamande qui bénéficiait ainsi de moyens </w:t>
      </w:r>
      <w:r w:rsidR="00AB0080">
        <w:rPr>
          <w:color w:val="231F20"/>
          <w:szCs w:val="24"/>
          <w:shd w:val="clear" w:color="auto" w:fill="FFFFFF"/>
        </w:rPr>
        <w:t>supplémentaires</w:t>
      </w:r>
      <w:r w:rsidR="00CE7705">
        <w:rPr>
          <w:color w:val="231F20"/>
          <w:szCs w:val="24"/>
          <w:shd w:val="clear" w:color="auto" w:fill="FFFFFF"/>
        </w:rPr>
        <w:t xml:space="preserve"> sans transfert de nouvelles compétences </w:t>
      </w:r>
      <w:r w:rsidR="00F42134">
        <w:rPr>
          <w:color w:val="231F20"/>
          <w:szCs w:val="24"/>
          <w:shd w:val="clear" w:color="auto" w:fill="FFFFFF"/>
        </w:rPr>
        <w:t xml:space="preserve">(de la Communauté flamande) </w:t>
      </w:r>
      <w:r w:rsidR="00CE7705">
        <w:rPr>
          <w:color w:val="231F20"/>
          <w:szCs w:val="24"/>
          <w:shd w:val="clear" w:color="auto" w:fill="FFFFFF"/>
        </w:rPr>
        <w:t xml:space="preserve">et mettait en évidence </w:t>
      </w:r>
      <w:r w:rsidR="00923D00">
        <w:rPr>
          <w:color w:val="231F20"/>
          <w:szCs w:val="24"/>
          <w:shd w:val="clear" w:color="auto" w:fill="FFFFFF"/>
        </w:rPr>
        <w:t xml:space="preserve">la </w:t>
      </w:r>
      <w:r w:rsidR="00CE7705" w:rsidRPr="00CE7705">
        <w:rPr>
          <w:color w:val="231F20"/>
          <w:szCs w:val="24"/>
          <w:shd w:val="clear" w:color="auto" w:fill="FFFFFF"/>
        </w:rPr>
        <w:t>sit</w:t>
      </w:r>
      <w:r w:rsidR="00CE7705">
        <w:rPr>
          <w:color w:val="231F20"/>
          <w:szCs w:val="24"/>
          <w:shd w:val="clear" w:color="auto" w:fill="FFFFFF"/>
        </w:rPr>
        <w:t xml:space="preserve">uation </w:t>
      </w:r>
      <w:r w:rsidR="00CE7705" w:rsidRPr="00CE7705">
        <w:rPr>
          <w:color w:val="231F20"/>
          <w:szCs w:val="24"/>
          <w:shd w:val="clear" w:color="auto" w:fill="FFFFFF"/>
        </w:rPr>
        <w:t xml:space="preserve">de </w:t>
      </w:r>
      <w:r w:rsidR="005A7E04">
        <w:rPr>
          <w:color w:val="231F20"/>
          <w:szCs w:val="24"/>
          <w:shd w:val="clear" w:color="auto" w:fill="FFFFFF"/>
        </w:rPr>
        <w:t>« </w:t>
      </w:r>
      <w:r w:rsidR="00CE7705" w:rsidRPr="00CE7705">
        <w:rPr>
          <w:color w:val="231F20"/>
          <w:szCs w:val="24"/>
          <w:shd w:val="clear" w:color="auto" w:fill="FFFFFF"/>
        </w:rPr>
        <w:t>maillon faible</w:t>
      </w:r>
      <w:r w:rsidR="00AB0080">
        <w:rPr>
          <w:color w:val="231F20"/>
          <w:szCs w:val="24"/>
          <w:shd w:val="clear" w:color="auto" w:fill="FFFFFF"/>
        </w:rPr>
        <w:t> »</w:t>
      </w:r>
      <w:r w:rsidR="00CE7705" w:rsidRPr="00CE7705">
        <w:rPr>
          <w:color w:val="231F20"/>
          <w:szCs w:val="24"/>
          <w:shd w:val="clear" w:color="auto" w:fill="FFFFFF"/>
        </w:rPr>
        <w:t xml:space="preserve"> de la C</w:t>
      </w:r>
      <w:r w:rsidR="00AB0080">
        <w:rPr>
          <w:color w:val="231F20"/>
          <w:szCs w:val="24"/>
          <w:shd w:val="clear" w:color="auto" w:fill="FFFFFF"/>
        </w:rPr>
        <w:t>OCOF</w:t>
      </w:r>
      <w:r w:rsidR="00CE7705" w:rsidRPr="00CE7705">
        <w:rPr>
          <w:color w:val="231F20"/>
          <w:szCs w:val="24"/>
          <w:shd w:val="clear" w:color="auto" w:fill="FFFFFF"/>
        </w:rPr>
        <w:t xml:space="preserve"> dans ce refinancement indirect de la Communauté française</w:t>
      </w:r>
      <w:r w:rsidR="00CE7705" w:rsidRPr="00CE7705">
        <w:rPr>
          <w:rStyle w:val="Appelnotedebasdep"/>
          <w:color w:val="231F20"/>
          <w:szCs w:val="24"/>
          <w:shd w:val="clear" w:color="auto" w:fill="FFFFFF"/>
        </w:rPr>
        <w:footnoteReference w:id="94"/>
      </w:r>
      <w:r w:rsidR="00CE7705" w:rsidRPr="00CE7705">
        <w:rPr>
          <w:color w:val="231F20"/>
          <w:szCs w:val="24"/>
          <w:shd w:val="clear" w:color="auto" w:fill="FFFFFF"/>
        </w:rPr>
        <w:t>.</w:t>
      </w:r>
      <w:r w:rsidR="00BB61A1">
        <w:rPr>
          <w:color w:val="231F20"/>
          <w:szCs w:val="24"/>
          <w:shd w:val="clear" w:color="auto" w:fill="FFFFFF"/>
        </w:rPr>
        <w:t xml:space="preserve"> Cette situation justifia </w:t>
      </w:r>
      <w:r w:rsidR="005914B8">
        <w:rPr>
          <w:color w:val="231F20"/>
          <w:szCs w:val="24"/>
          <w:shd w:val="clear" w:color="auto" w:fill="FFFFFF"/>
        </w:rPr>
        <w:t xml:space="preserve">notamment </w:t>
      </w:r>
      <w:r w:rsidR="00BB61A1">
        <w:rPr>
          <w:color w:val="231F20"/>
          <w:szCs w:val="24"/>
          <w:shd w:val="clear" w:color="auto" w:fill="FFFFFF"/>
        </w:rPr>
        <w:t xml:space="preserve">une augmentation des moyens octroyés aux </w:t>
      </w:r>
      <w:r w:rsidR="00BB61A1" w:rsidRPr="00007105">
        <w:rPr>
          <w:color w:val="231F20"/>
          <w:szCs w:val="24"/>
          <w:shd w:val="clear" w:color="auto" w:fill="FFFFFF"/>
        </w:rPr>
        <w:t>commissions communautaires dans le cadre de la cinquième réforme de l’Etat</w:t>
      </w:r>
      <w:r w:rsidR="00007105" w:rsidRPr="00007105">
        <w:rPr>
          <w:rStyle w:val="Appelnotedebasdep"/>
          <w:rFonts w:ascii="Arial" w:hAnsi="Arial" w:cs="Arial"/>
          <w:color w:val="231F20"/>
          <w:sz w:val="18"/>
          <w:szCs w:val="18"/>
          <w:shd w:val="clear" w:color="auto" w:fill="FFFFFF"/>
        </w:rPr>
        <w:footnoteReference w:id="95"/>
      </w:r>
      <w:r w:rsidR="00BB61A1" w:rsidRPr="00007105">
        <w:rPr>
          <w:color w:val="231F20"/>
          <w:szCs w:val="24"/>
          <w:shd w:val="clear" w:color="auto" w:fill="FFFFFF"/>
        </w:rPr>
        <w:t xml:space="preserve">. </w:t>
      </w:r>
      <w:r w:rsidR="00C017A1" w:rsidRPr="00007105">
        <w:t>Ce mécanisme d’aide intra-</w:t>
      </w:r>
      <w:r w:rsidR="00C017A1" w:rsidRPr="00007105">
        <w:lastRenderedPageBreak/>
        <w:t xml:space="preserve">francophone </w:t>
      </w:r>
      <w:r w:rsidR="00616DA2">
        <w:t xml:space="preserve">en faveur de la Communauté française </w:t>
      </w:r>
      <w:r w:rsidR="00BB61A1" w:rsidRPr="00007105">
        <w:t>a</w:t>
      </w:r>
      <w:r w:rsidR="00C017A1" w:rsidRPr="00007105">
        <w:t xml:space="preserve"> encore</w:t>
      </w:r>
      <w:r w:rsidR="00616DA2">
        <w:t xml:space="preserve"> été </w:t>
      </w:r>
      <w:r w:rsidR="00C017A1" w:rsidRPr="00007105">
        <w:t>amplifié par le décret du 23 décembre 1999</w:t>
      </w:r>
      <w:r w:rsidR="00C017A1" w:rsidRPr="00007105">
        <w:rPr>
          <w:rStyle w:val="Appelnotedebasdep"/>
        </w:rPr>
        <w:footnoteReference w:id="96"/>
      </w:r>
      <w:r w:rsidR="00C017A1" w:rsidRPr="00007105">
        <w:t>.</w:t>
      </w:r>
      <w:r w:rsidR="0030648C" w:rsidRPr="00007105">
        <w:t xml:space="preserve"> </w:t>
      </w:r>
    </w:p>
    <w:p w14:paraId="289E1631" w14:textId="78232B8F" w:rsidR="004D541C" w:rsidRDefault="004D541C" w:rsidP="004D541C">
      <w:pPr>
        <w:spacing w:after="120" w:line="360" w:lineRule="auto"/>
        <w:jc w:val="both"/>
        <w:rPr>
          <w:color w:val="231F20"/>
          <w:szCs w:val="24"/>
          <w:shd w:val="clear" w:color="auto" w:fill="FFFFFF"/>
        </w:rPr>
      </w:pPr>
      <w:r>
        <w:t xml:space="preserve">Le deuxième mécanisme d’aide financière est le recours à une vente exceptionnelle, pour un montant de </w:t>
      </w:r>
      <w:r w:rsidR="002940A5">
        <w:t>près d’un milliard</w:t>
      </w:r>
      <w:r>
        <w:t xml:space="preserve"> €, de bâtiments scolaires</w:t>
      </w:r>
      <w:r w:rsidR="002940A5">
        <w:t xml:space="preserve"> de la Communauté française</w:t>
      </w:r>
      <w:r>
        <w:t xml:space="preserve"> </w:t>
      </w:r>
      <w:r w:rsidR="00133CDF">
        <w:t xml:space="preserve">à la Région wallonne et </w:t>
      </w:r>
      <w:r w:rsidR="00923D00">
        <w:t xml:space="preserve">à </w:t>
      </w:r>
      <w:r w:rsidR="00133CDF">
        <w:t xml:space="preserve">la </w:t>
      </w:r>
      <w:r w:rsidR="00F55473">
        <w:t>COCOF</w:t>
      </w:r>
      <w:r w:rsidR="00133CDF">
        <w:t xml:space="preserve"> </w:t>
      </w:r>
      <w:r>
        <w:t>afin de couvrir</w:t>
      </w:r>
      <w:r w:rsidR="00133CDF">
        <w:t xml:space="preserve"> ses </w:t>
      </w:r>
      <w:r>
        <w:t xml:space="preserve">déficits à court terme. </w:t>
      </w:r>
      <w:r w:rsidR="00133CDF">
        <w:t>La</w:t>
      </w:r>
      <w:r>
        <w:t xml:space="preserve"> Région wallonne </w:t>
      </w:r>
      <w:r w:rsidR="00133CDF">
        <w:t>et</w:t>
      </w:r>
      <w:r>
        <w:t xml:space="preserve"> la </w:t>
      </w:r>
      <w:r w:rsidR="00F55473">
        <w:t>COCOF</w:t>
      </w:r>
      <w:r w:rsidR="00133CDF">
        <w:t xml:space="preserve"> </w:t>
      </w:r>
      <w:r>
        <w:t>ont constitué conjointement avec la Communauté française six sociétés publiques d’administration de bâtiments scolaires de la Communauté</w:t>
      </w:r>
      <w:r w:rsidR="00616DA2">
        <w:t xml:space="preserve"> dont une en Région de Bruxelles-Capitale et cinq en Région wallonne</w:t>
      </w:r>
      <w:r>
        <w:t>, les SPABS</w:t>
      </w:r>
      <w:r w:rsidRPr="007402DC">
        <w:rPr>
          <w:rStyle w:val="Appelnotedebasdep"/>
        </w:rPr>
        <w:footnoteReference w:id="97"/>
      </w:r>
      <w:r>
        <w:t xml:space="preserve">. Ces sociétés acquièrent auprès de la Communauté des bâtiments scolaires pour </w:t>
      </w:r>
      <w:r w:rsidR="00133CDF">
        <w:t>près d’un milliard €</w:t>
      </w:r>
      <w:r>
        <w:t>. Elles empruntent ce montant (743,6 millions pour les sociétés wallonnes et 247,9 millions pour la société bruxelloise)</w:t>
      </w:r>
      <w:r w:rsidR="00133CDF">
        <w:t xml:space="preserve"> et l</w:t>
      </w:r>
      <w:r>
        <w:t>e service des emprunts</w:t>
      </w:r>
      <w:r>
        <w:rPr>
          <w:rStyle w:val="Appelnotedebasdep"/>
        </w:rPr>
        <w:footnoteReference w:id="98"/>
      </w:r>
      <w:r>
        <w:t xml:space="preserve"> est assuré par la Région wallonne et la </w:t>
      </w:r>
      <w:r w:rsidR="00F55473">
        <w:t>COCOF</w:t>
      </w:r>
      <w:r>
        <w:t xml:space="preserve"> par la voie d’une subsidiation à due concurrence des sociétés publiques</w:t>
      </w:r>
      <w:r w:rsidR="00133CDF">
        <w:t>.</w:t>
      </w:r>
      <w:r>
        <w:t xml:space="preserve"> Cette formule d’emprunt permet un refinancement indirect de la Communauté française à charge de la Région wallonne et de la </w:t>
      </w:r>
      <w:r w:rsidR="00F55473">
        <w:t>COCOF</w:t>
      </w:r>
      <w:r>
        <w:rPr>
          <w:rStyle w:val="Appelnotedebasdep"/>
        </w:rPr>
        <w:footnoteReference w:id="99"/>
      </w:r>
      <w:r>
        <w:t xml:space="preserve"> et permet de contourner la norme imposée par le Conseil supérieur des finances en matière</w:t>
      </w:r>
      <w:r>
        <w:rPr>
          <w:rStyle w:val="Appelnotedebasdep"/>
        </w:rPr>
        <w:footnoteReference w:id="100"/>
      </w:r>
      <w:r>
        <w:t xml:space="preserve"> d</w:t>
      </w:r>
      <w:r w:rsidR="00133CDF">
        <w:t>e capacité d’</w:t>
      </w:r>
      <w:r>
        <w:t>emprunts.</w:t>
      </w:r>
      <w:r w:rsidR="000C3265">
        <w:t xml:space="preserve"> Ainsi, par ce mécanisme, </w:t>
      </w:r>
      <w:r w:rsidR="000C3265" w:rsidRPr="000C3265">
        <w:rPr>
          <w:szCs w:val="24"/>
        </w:rPr>
        <w:t xml:space="preserve">près de </w:t>
      </w:r>
      <w:r w:rsidR="00616DA2">
        <w:rPr>
          <w:color w:val="231F20"/>
          <w:szCs w:val="24"/>
          <w:shd w:val="clear" w:color="auto" w:fill="FFFFFF"/>
        </w:rPr>
        <w:t>55</w:t>
      </w:r>
      <w:r w:rsidR="000C3265" w:rsidRPr="000C3265">
        <w:rPr>
          <w:color w:val="231F20"/>
          <w:szCs w:val="24"/>
          <w:shd w:val="clear" w:color="auto" w:fill="FFFFFF"/>
        </w:rPr>
        <w:t>% des bâtiments scolaires ont été cédés aux SPABS</w:t>
      </w:r>
      <w:r w:rsidR="000C3265">
        <w:rPr>
          <w:rStyle w:val="Appelnotedebasdep"/>
          <w:color w:val="231F20"/>
          <w:szCs w:val="24"/>
          <w:shd w:val="clear" w:color="auto" w:fill="FFFFFF"/>
        </w:rPr>
        <w:footnoteReference w:id="101"/>
      </w:r>
      <w:r w:rsidR="000C3265" w:rsidRPr="000C3265">
        <w:rPr>
          <w:color w:val="231F20"/>
          <w:szCs w:val="24"/>
          <w:shd w:val="clear" w:color="auto" w:fill="FFFFFF"/>
        </w:rPr>
        <w:t xml:space="preserve"> </w:t>
      </w:r>
      <w:r w:rsidR="000C3265">
        <w:rPr>
          <w:color w:val="231F20"/>
          <w:szCs w:val="24"/>
          <w:shd w:val="clear" w:color="auto" w:fill="FFFFFF"/>
        </w:rPr>
        <w:t xml:space="preserve">et, </w:t>
      </w:r>
      <w:r w:rsidR="000C3265" w:rsidRPr="009851FA">
        <w:rPr>
          <w:i/>
          <w:iCs/>
          <w:color w:val="231F20"/>
          <w:szCs w:val="24"/>
          <w:shd w:val="clear" w:color="auto" w:fill="FFFFFF"/>
        </w:rPr>
        <w:t>de facto</w:t>
      </w:r>
      <w:r w:rsidR="000C3265">
        <w:rPr>
          <w:color w:val="231F20"/>
          <w:szCs w:val="24"/>
          <w:shd w:val="clear" w:color="auto" w:fill="FFFFFF"/>
        </w:rPr>
        <w:t>, régionalisés.</w:t>
      </w:r>
      <w:r w:rsidR="00616DA2">
        <w:rPr>
          <w:color w:val="231F20"/>
          <w:szCs w:val="24"/>
          <w:shd w:val="clear" w:color="auto" w:fill="FFFFFF"/>
        </w:rPr>
        <w:t xml:space="preserve"> La Communauté française reste redevable de loyers aux SPABS pour l’occupation des bâtiments. Les SPABS sont responsables des travaux et aménagements à réaliser sur les bâtiments, pour lesquels elles sont éligibles aux mécanismes de subsidiation des bâtiments scolaires mis en place par la Communauté.</w:t>
      </w:r>
    </w:p>
    <w:p w14:paraId="758E4EEF" w14:textId="20845609" w:rsidR="004D541C" w:rsidRDefault="004D541C" w:rsidP="004D541C">
      <w:pPr>
        <w:spacing w:after="120" w:line="360" w:lineRule="auto"/>
        <w:jc w:val="both"/>
      </w:pPr>
      <w:r>
        <w:t>Enfin, dans le cadre d’un accord de coopération conclu le 22 juin 2000, la Région wallonne avait décidé de financer directement par son budget des programmes dont les matières relèvent de la compétence de la Communauté française.</w:t>
      </w:r>
      <w:r w:rsidR="00C017A1">
        <w:t xml:space="preserve"> La Région wallonne a mis progressivement fin au </w:t>
      </w:r>
      <w:r w:rsidR="00C017A1">
        <w:lastRenderedPageBreak/>
        <w:t>financement de c</w:t>
      </w:r>
      <w:r>
        <w:t xml:space="preserve">es politiques croisées </w:t>
      </w:r>
      <w:r w:rsidR="00FF22A8">
        <w:t xml:space="preserve">après le refinancement de 2001 et les accords </w:t>
      </w:r>
      <w:r w:rsidR="004621C1">
        <w:t>intra francophones</w:t>
      </w:r>
      <w:r w:rsidR="00FF22A8">
        <w:t xml:space="preserve"> de répartition</w:t>
      </w:r>
      <w:r w:rsidR="009851FA">
        <w:rPr>
          <w:rStyle w:val="Appelnotedebasdep"/>
        </w:rPr>
        <w:footnoteReference w:id="102"/>
      </w:r>
      <w:r w:rsidR="00FF22A8">
        <w:rPr>
          <w:rStyle w:val="Appelnotedebasdep"/>
        </w:rPr>
        <w:footnoteReference w:id="103"/>
      </w:r>
      <w:r w:rsidR="00FF22A8">
        <w:t>.</w:t>
      </w:r>
    </w:p>
    <w:p w14:paraId="0F56D5B1" w14:textId="67B87FEA" w:rsidR="009E72D3" w:rsidRDefault="009E72D3" w:rsidP="009E72D3">
      <w:pPr>
        <w:spacing w:after="120" w:line="360" w:lineRule="auto"/>
        <w:jc w:val="both"/>
        <w:rPr>
          <w:spacing w:val="5"/>
        </w:rPr>
      </w:pPr>
      <w:r>
        <w:t>Les problèmes de financement de la Communauté française dès 1990 ont placé les négociateurs francophones en position de faiblesse et d</w:t>
      </w:r>
      <w:r w:rsidR="007C2E0A">
        <w:t>’exigence</w:t>
      </w:r>
      <w:r>
        <w:t xml:space="preserve"> d’un refinancement des Communautés lors des réformes institutionnelles suivante</w:t>
      </w:r>
      <w:r w:rsidR="007C2E0A">
        <w:t>s</w:t>
      </w:r>
      <w:r>
        <w:t xml:space="preserve">. </w:t>
      </w:r>
      <w:r>
        <w:rPr>
          <w:spacing w:val="1"/>
        </w:rPr>
        <w:t>En conséquence du refinancement des Communautés</w:t>
      </w:r>
      <w:r w:rsidR="007C2E0A">
        <w:rPr>
          <w:spacing w:val="1"/>
        </w:rPr>
        <w:t xml:space="preserve"> obtenu en 1993 et 2001</w:t>
      </w:r>
      <w:r w:rsidRPr="004D4E4A">
        <w:rPr>
          <w:spacing w:val="2"/>
        </w:rPr>
        <w:t>, la Communauté flamande</w:t>
      </w:r>
      <w:r>
        <w:rPr>
          <w:spacing w:val="2"/>
        </w:rPr>
        <w:t xml:space="preserve">, qui </w:t>
      </w:r>
      <w:r w:rsidRPr="009851FA">
        <w:rPr>
          <w:i/>
          <w:iCs/>
          <w:spacing w:val="2"/>
        </w:rPr>
        <w:t>a priori</w:t>
      </w:r>
      <w:r>
        <w:rPr>
          <w:spacing w:val="2"/>
        </w:rPr>
        <w:t xml:space="preserve"> n’était pas demandeuse de refinancement,</w:t>
      </w:r>
      <w:r w:rsidR="00B40A78">
        <w:rPr>
          <w:spacing w:val="2"/>
        </w:rPr>
        <w:t xml:space="preserve"> va bénéficier</w:t>
      </w:r>
      <w:r w:rsidRPr="004D4E4A">
        <w:rPr>
          <w:spacing w:val="2"/>
        </w:rPr>
        <w:t xml:space="preserve"> de marges financières </w:t>
      </w:r>
      <w:r w:rsidRPr="004D4E4A">
        <w:rPr>
          <w:spacing w:val="4"/>
        </w:rPr>
        <w:t>importantes</w:t>
      </w:r>
      <w:r w:rsidR="00B40A78">
        <w:rPr>
          <w:spacing w:val="4"/>
        </w:rPr>
        <w:t xml:space="preserve"> (par rapport à ses besoins initiaux)</w:t>
      </w:r>
      <w:r w:rsidRPr="004D4E4A">
        <w:rPr>
          <w:spacing w:val="4"/>
        </w:rPr>
        <w:t xml:space="preserve"> qui</w:t>
      </w:r>
      <w:r w:rsidRPr="004D4E4A">
        <w:rPr>
          <w:b/>
          <w:bCs/>
          <w:spacing w:val="4"/>
        </w:rPr>
        <w:t xml:space="preserve"> </w:t>
      </w:r>
      <w:r w:rsidRPr="004D4E4A">
        <w:rPr>
          <w:spacing w:val="4"/>
        </w:rPr>
        <w:t xml:space="preserve">lui </w:t>
      </w:r>
      <w:r>
        <w:rPr>
          <w:spacing w:val="4"/>
        </w:rPr>
        <w:t>perm</w:t>
      </w:r>
      <w:r w:rsidR="00B40A78">
        <w:rPr>
          <w:spacing w:val="4"/>
        </w:rPr>
        <w:t>ettront</w:t>
      </w:r>
      <w:r w:rsidRPr="004D4E4A">
        <w:rPr>
          <w:spacing w:val="4"/>
        </w:rPr>
        <w:t xml:space="preserve"> de réduire ultérieurement la pression fiscale </w:t>
      </w:r>
      <w:r>
        <w:rPr>
          <w:spacing w:val="4"/>
        </w:rPr>
        <w:t xml:space="preserve">applicable sur le territoire régional flamand et </w:t>
      </w:r>
      <w:r w:rsidRPr="004D4E4A">
        <w:rPr>
          <w:spacing w:val="5"/>
        </w:rPr>
        <w:t>de</w:t>
      </w:r>
      <w:r>
        <w:rPr>
          <w:spacing w:val="5"/>
        </w:rPr>
        <w:t xml:space="preserve"> rembourser, </w:t>
      </w:r>
      <w:r w:rsidRPr="004D4E4A">
        <w:rPr>
          <w:spacing w:val="5"/>
        </w:rPr>
        <w:t>en quelques années</w:t>
      </w:r>
      <w:r>
        <w:rPr>
          <w:spacing w:val="5"/>
        </w:rPr>
        <w:t>, sa dette</w:t>
      </w:r>
      <w:r w:rsidRPr="004D4E4A">
        <w:rPr>
          <w:rStyle w:val="Appelnotedebasdep"/>
          <w:spacing w:val="5"/>
        </w:rPr>
        <w:footnoteReference w:id="104"/>
      </w:r>
      <w:r w:rsidRPr="004D4E4A">
        <w:rPr>
          <w:spacing w:val="5"/>
        </w:rPr>
        <w:t xml:space="preserve">. </w:t>
      </w:r>
    </w:p>
    <w:p w14:paraId="2F2CEF2D" w14:textId="20732395" w:rsidR="00C50A69" w:rsidRPr="00A55CD4" w:rsidRDefault="00C50A69" w:rsidP="00A72528">
      <w:pPr>
        <w:pStyle w:val="Titre2"/>
      </w:pPr>
      <w:bookmarkStart w:id="18" w:name="_Toc96081452"/>
      <w:r w:rsidRPr="00A55CD4">
        <w:t>Les problèmes financiers de la Région de Bruxelles-Capitale</w:t>
      </w:r>
      <w:bookmarkEnd w:id="18"/>
    </w:p>
    <w:p w14:paraId="1DE058FA" w14:textId="343D8F39" w:rsidR="00A72528" w:rsidRDefault="00A72528" w:rsidP="00A72528">
      <w:pPr>
        <w:pStyle w:val="Titre3"/>
        <w:rPr>
          <w:shd w:val="clear" w:color="auto" w:fill="FFFFFF"/>
        </w:rPr>
      </w:pPr>
      <w:bookmarkStart w:id="19" w:name="_Toc96081453"/>
      <w:r>
        <w:rPr>
          <w:shd w:val="clear" w:color="auto" w:fill="FFFFFF"/>
        </w:rPr>
        <w:t>Les spécificités de la Région de Bruxelles-Capitale</w:t>
      </w:r>
      <w:bookmarkEnd w:id="19"/>
    </w:p>
    <w:p w14:paraId="1534932D" w14:textId="06419AE8" w:rsidR="003F374B" w:rsidRDefault="0030648C" w:rsidP="0030648C">
      <w:pPr>
        <w:spacing w:line="360" w:lineRule="auto"/>
        <w:jc w:val="both"/>
        <w:rPr>
          <w:color w:val="231F20"/>
          <w:szCs w:val="24"/>
          <w:shd w:val="clear" w:color="auto" w:fill="FFFFFF"/>
        </w:rPr>
      </w:pPr>
      <w:r w:rsidRPr="0030648C">
        <w:rPr>
          <w:color w:val="231F20"/>
          <w:szCs w:val="24"/>
          <w:shd w:val="clear" w:color="auto" w:fill="FFFFFF"/>
        </w:rPr>
        <w:t>I</w:t>
      </w:r>
      <w:r w:rsidR="003601BC" w:rsidRPr="0030648C">
        <w:rPr>
          <w:color w:val="231F20"/>
          <w:szCs w:val="24"/>
          <w:shd w:val="clear" w:color="auto" w:fill="FFFFFF"/>
        </w:rPr>
        <w:t xml:space="preserve">l n’y a </w:t>
      </w:r>
      <w:r w:rsidR="00606389" w:rsidRPr="0030648C">
        <w:rPr>
          <w:color w:val="231F20"/>
          <w:szCs w:val="24"/>
          <w:shd w:val="clear" w:color="auto" w:fill="FFFFFF"/>
        </w:rPr>
        <w:t xml:space="preserve">cependant </w:t>
      </w:r>
      <w:r w:rsidR="003601BC" w:rsidRPr="0030648C">
        <w:rPr>
          <w:color w:val="231F20"/>
          <w:szCs w:val="24"/>
          <w:shd w:val="clear" w:color="auto" w:fill="FFFFFF"/>
        </w:rPr>
        <w:t>pas que le financement de la Communauté française qui pose problème. Plusieurs études dans les années 90 ont démontré les problèmes de financement de la Région de Bruxelles-Capitale. L’étude de J.</w:t>
      </w:r>
      <w:r w:rsidR="00105B34">
        <w:rPr>
          <w:color w:val="231F20"/>
          <w:szCs w:val="24"/>
          <w:shd w:val="clear" w:color="auto" w:fill="FFFFFF"/>
        </w:rPr>
        <w:t xml:space="preserve"> </w:t>
      </w:r>
      <w:r w:rsidR="003601BC" w:rsidRPr="0030648C">
        <w:rPr>
          <w:color w:val="231F20"/>
          <w:szCs w:val="24"/>
          <w:shd w:val="clear" w:color="auto" w:fill="FFFFFF"/>
        </w:rPr>
        <w:t>P</w:t>
      </w:r>
      <w:r w:rsidR="00105B34">
        <w:rPr>
          <w:color w:val="231F20"/>
          <w:szCs w:val="24"/>
          <w:shd w:val="clear" w:color="auto" w:fill="FFFFFF"/>
        </w:rPr>
        <w:t>.</w:t>
      </w:r>
      <w:r w:rsidR="003601BC" w:rsidRPr="0030648C">
        <w:rPr>
          <w:color w:val="231F20"/>
          <w:szCs w:val="24"/>
          <w:shd w:val="clear" w:color="auto" w:fill="FFFFFF"/>
        </w:rPr>
        <w:t xml:space="preserve"> LAMBERT et al</w:t>
      </w:r>
      <w:r w:rsidR="003601BC" w:rsidRPr="0030648C">
        <w:rPr>
          <w:rStyle w:val="Appelnotedebasdep"/>
          <w:color w:val="231F20"/>
          <w:szCs w:val="24"/>
          <w:shd w:val="clear" w:color="auto" w:fill="FFFFFF"/>
        </w:rPr>
        <w:footnoteReference w:id="105"/>
      </w:r>
      <w:r w:rsidR="003601BC" w:rsidRPr="0030648C">
        <w:rPr>
          <w:color w:val="231F20"/>
          <w:szCs w:val="24"/>
          <w:shd w:val="clear" w:color="auto" w:fill="FFFFFF"/>
        </w:rPr>
        <w:t xml:space="preserve"> met en évidence l’inadéquation entre les moyens octroyés à la Région et les dépenses importantes qu’elle doit supporter du fait des fonctions politiques et socio-économiques qu’elle abrite. </w:t>
      </w:r>
      <w:r>
        <w:rPr>
          <w:color w:val="231F20"/>
          <w:szCs w:val="24"/>
          <w:shd w:val="clear" w:color="auto" w:fill="FFFFFF"/>
        </w:rPr>
        <w:t>Elle chiffrait les</w:t>
      </w:r>
      <w:r w:rsidRPr="0030648C">
        <w:rPr>
          <w:color w:val="231F20"/>
          <w:szCs w:val="24"/>
          <w:shd w:val="clear" w:color="auto" w:fill="FFFFFF"/>
        </w:rPr>
        <w:t xml:space="preserve"> surcouts et manques à gagner à près de 500 millions</w:t>
      </w:r>
      <w:r>
        <w:rPr>
          <w:color w:val="231F20"/>
          <w:szCs w:val="24"/>
          <w:shd w:val="clear" w:color="auto" w:fill="FFFFFF"/>
        </w:rPr>
        <w:t xml:space="preserve"> €</w:t>
      </w:r>
      <w:r>
        <w:rPr>
          <w:rStyle w:val="Appelnotedebasdep"/>
          <w:rFonts w:ascii="Arial" w:hAnsi="Arial" w:cs="Arial"/>
          <w:color w:val="231F20"/>
          <w:sz w:val="18"/>
          <w:szCs w:val="18"/>
          <w:shd w:val="clear" w:color="auto" w:fill="FFFFFF"/>
        </w:rPr>
        <w:footnoteReference w:id="106"/>
      </w:r>
      <w:r>
        <w:rPr>
          <w:color w:val="231F20"/>
          <w:szCs w:val="24"/>
          <w:shd w:val="clear" w:color="auto" w:fill="FFFFFF"/>
        </w:rPr>
        <w:t xml:space="preserve">. Bruxelles </w:t>
      </w:r>
      <w:r w:rsidR="003601BC" w:rsidRPr="003601BC">
        <w:rPr>
          <w:color w:val="231F20"/>
          <w:szCs w:val="24"/>
          <w:shd w:val="clear" w:color="auto" w:fill="FFFFFF"/>
        </w:rPr>
        <w:t xml:space="preserve">génère énormément d’externalités positives pour les deux autres </w:t>
      </w:r>
      <w:r w:rsidR="00D60207">
        <w:rPr>
          <w:color w:val="231F20"/>
          <w:szCs w:val="24"/>
          <w:shd w:val="clear" w:color="auto" w:fill="FFFFFF"/>
        </w:rPr>
        <w:t>R</w:t>
      </w:r>
      <w:r w:rsidR="003601BC" w:rsidRPr="003601BC">
        <w:rPr>
          <w:color w:val="231F20"/>
          <w:szCs w:val="24"/>
          <w:shd w:val="clear" w:color="auto" w:fill="FFFFFF"/>
        </w:rPr>
        <w:t xml:space="preserve">égions mais </w:t>
      </w:r>
      <w:r w:rsidR="00D60207">
        <w:rPr>
          <w:color w:val="231F20"/>
          <w:szCs w:val="24"/>
          <w:shd w:val="clear" w:color="auto" w:fill="FFFFFF"/>
        </w:rPr>
        <w:t xml:space="preserve">qui </w:t>
      </w:r>
      <w:r w:rsidR="003601BC">
        <w:rPr>
          <w:color w:val="231F20"/>
          <w:szCs w:val="24"/>
          <w:shd w:val="clear" w:color="auto" w:fill="FFFFFF"/>
        </w:rPr>
        <w:t xml:space="preserve">sont </w:t>
      </w:r>
      <w:r w:rsidR="003601BC" w:rsidRPr="003601BC">
        <w:rPr>
          <w:color w:val="231F20"/>
          <w:szCs w:val="24"/>
          <w:shd w:val="clear" w:color="auto" w:fill="FFFFFF"/>
        </w:rPr>
        <w:t xml:space="preserve">insuffisamment prises en compte </w:t>
      </w:r>
      <w:r w:rsidR="003601BC">
        <w:rPr>
          <w:color w:val="231F20"/>
          <w:szCs w:val="24"/>
          <w:shd w:val="clear" w:color="auto" w:fill="FFFFFF"/>
        </w:rPr>
        <w:t xml:space="preserve">dans </w:t>
      </w:r>
      <w:r w:rsidR="003601BC" w:rsidRPr="003601BC">
        <w:rPr>
          <w:color w:val="231F20"/>
          <w:szCs w:val="24"/>
          <w:shd w:val="clear" w:color="auto" w:fill="FFFFFF"/>
        </w:rPr>
        <w:t>les mécanismes de financement</w:t>
      </w:r>
      <w:r w:rsidR="003601BC" w:rsidRPr="003601BC">
        <w:rPr>
          <w:rStyle w:val="Appelnotedebasdep"/>
          <w:color w:val="231F20"/>
          <w:szCs w:val="24"/>
          <w:shd w:val="clear" w:color="auto" w:fill="FFFFFF"/>
        </w:rPr>
        <w:footnoteReference w:id="107"/>
      </w:r>
      <w:r w:rsidR="003601BC" w:rsidRPr="003601BC">
        <w:rPr>
          <w:color w:val="231F20"/>
          <w:szCs w:val="24"/>
          <w:shd w:val="clear" w:color="auto" w:fill="FFFFFF"/>
        </w:rPr>
        <w:t xml:space="preserve">. </w:t>
      </w:r>
      <w:r w:rsidR="003601BC">
        <w:rPr>
          <w:color w:val="231F20"/>
          <w:szCs w:val="24"/>
          <w:shd w:val="clear" w:color="auto" w:fill="FFFFFF"/>
        </w:rPr>
        <w:t>L</w:t>
      </w:r>
      <w:r w:rsidR="003601BC" w:rsidRPr="003601BC">
        <w:rPr>
          <w:color w:val="231F20"/>
          <w:szCs w:val="24"/>
          <w:shd w:val="clear" w:color="auto" w:fill="FFFFFF"/>
        </w:rPr>
        <w:t>a Région ne p</w:t>
      </w:r>
      <w:r w:rsidR="003601BC">
        <w:rPr>
          <w:color w:val="231F20"/>
          <w:szCs w:val="24"/>
          <w:shd w:val="clear" w:color="auto" w:fill="FFFFFF"/>
        </w:rPr>
        <w:t>eut</w:t>
      </w:r>
      <w:r w:rsidR="003601BC" w:rsidRPr="003601BC">
        <w:rPr>
          <w:color w:val="231F20"/>
          <w:szCs w:val="24"/>
          <w:shd w:val="clear" w:color="auto" w:fill="FFFFFF"/>
        </w:rPr>
        <w:t xml:space="preserve"> assumer sur sa fiscalité propre les surcoûts engendrés par tout ce qui dépasse les coûts inhérents à sa fonction régionale (fonctions politiques et institutionnelles). </w:t>
      </w:r>
    </w:p>
    <w:p w14:paraId="4A1F47E1" w14:textId="390343FA" w:rsidR="00606389" w:rsidRDefault="00606389" w:rsidP="00606389">
      <w:pPr>
        <w:spacing w:after="120" w:line="360" w:lineRule="auto"/>
        <w:jc w:val="both"/>
        <w:rPr>
          <w:szCs w:val="22"/>
        </w:rPr>
      </w:pPr>
      <w:r>
        <w:rPr>
          <w:szCs w:val="22"/>
        </w:rPr>
        <w:t>V</w:t>
      </w:r>
      <w:r w:rsidRPr="00F30BF4">
        <w:rPr>
          <w:szCs w:val="22"/>
        </w:rPr>
        <w:t>u le rôle majeur joué par la Région de Bruxelles-</w:t>
      </w:r>
      <w:r w:rsidR="006E0693">
        <w:rPr>
          <w:szCs w:val="22"/>
        </w:rPr>
        <w:t>C</w:t>
      </w:r>
      <w:r w:rsidRPr="00F30BF4">
        <w:rPr>
          <w:szCs w:val="22"/>
        </w:rPr>
        <w:t xml:space="preserve">apitale dans le développement </w:t>
      </w:r>
      <w:r w:rsidR="005A7E04" w:rsidRPr="00F30BF4">
        <w:rPr>
          <w:szCs w:val="22"/>
        </w:rPr>
        <w:t xml:space="preserve">non seulement </w:t>
      </w:r>
      <w:r w:rsidRPr="00F30BF4">
        <w:rPr>
          <w:szCs w:val="22"/>
        </w:rPr>
        <w:t xml:space="preserve">de la Belgique mais aussi des deux autres Régions, </w:t>
      </w:r>
      <w:r>
        <w:rPr>
          <w:szCs w:val="22"/>
        </w:rPr>
        <w:t>la sixième réforme de l’Etat a prévu</w:t>
      </w:r>
      <w:r w:rsidRPr="00F30BF4">
        <w:rPr>
          <w:szCs w:val="22"/>
        </w:rPr>
        <w:t xml:space="preserve"> un financement</w:t>
      </w:r>
      <w:r w:rsidR="00D60207">
        <w:rPr>
          <w:szCs w:val="22"/>
        </w:rPr>
        <w:t xml:space="preserve"> récurrent</w:t>
      </w:r>
      <w:r w:rsidRPr="00F30BF4">
        <w:rPr>
          <w:szCs w:val="22"/>
        </w:rPr>
        <w:t xml:space="preserve"> </w:t>
      </w:r>
      <w:r>
        <w:rPr>
          <w:szCs w:val="22"/>
        </w:rPr>
        <w:t>supplémentaire pour la Région</w:t>
      </w:r>
      <w:r w:rsidR="00105B34">
        <w:rPr>
          <w:szCs w:val="22"/>
        </w:rPr>
        <w:t xml:space="preserve"> </w:t>
      </w:r>
      <w:r w:rsidR="00A22DD5">
        <w:rPr>
          <w:szCs w:val="22"/>
        </w:rPr>
        <w:t xml:space="preserve">et ses institutions pour </w:t>
      </w:r>
      <w:r w:rsidR="00105B34">
        <w:rPr>
          <w:szCs w:val="22"/>
        </w:rPr>
        <w:t xml:space="preserve">près de 500 millions </w:t>
      </w:r>
      <w:r w:rsidR="00105B34">
        <w:rPr>
          <w:szCs w:val="22"/>
        </w:rPr>
        <w:lastRenderedPageBreak/>
        <w:t>€</w:t>
      </w:r>
      <w:r w:rsidR="003F374B">
        <w:rPr>
          <w:rStyle w:val="Appelnotedebasdep"/>
          <w:rFonts w:ascii="Arial" w:hAnsi="Arial" w:cs="Arial"/>
          <w:color w:val="231F20"/>
          <w:sz w:val="18"/>
          <w:szCs w:val="18"/>
          <w:shd w:val="clear" w:color="auto" w:fill="FFFFFF"/>
        </w:rPr>
        <w:footnoteReference w:id="108"/>
      </w:r>
      <w:r w:rsidR="00D60207">
        <w:rPr>
          <w:szCs w:val="22"/>
        </w:rPr>
        <w:t xml:space="preserve"> annuels</w:t>
      </w:r>
      <w:r w:rsidR="003F374B">
        <w:rPr>
          <w:rFonts w:ascii="Arial" w:hAnsi="Arial" w:cs="Arial"/>
          <w:color w:val="231F20"/>
          <w:sz w:val="18"/>
          <w:szCs w:val="18"/>
          <w:shd w:val="clear" w:color="auto" w:fill="FFFFFF"/>
        </w:rPr>
        <w:t>.</w:t>
      </w:r>
      <w:r w:rsidRPr="00F30BF4">
        <w:rPr>
          <w:szCs w:val="22"/>
        </w:rPr>
        <w:t xml:space="preserve"> En effet, </w:t>
      </w:r>
      <w:r>
        <w:rPr>
          <w:szCs w:val="22"/>
        </w:rPr>
        <w:t>les mécanismes de financement des Régions basés notamment sur des clés fiscales n’étai</w:t>
      </w:r>
      <w:r w:rsidR="005A7E04">
        <w:rPr>
          <w:szCs w:val="22"/>
        </w:rPr>
        <w:t>ent</w:t>
      </w:r>
      <w:r w:rsidRPr="00F30BF4">
        <w:rPr>
          <w:szCs w:val="22"/>
        </w:rPr>
        <w:t xml:space="preserve"> pas objecti</w:t>
      </w:r>
      <w:r w:rsidR="005A7E04">
        <w:rPr>
          <w:szCs w:val="22"/>
        </w:rPr>
        <w:t>fs</w:t>
      </w:r>
      <w:r w:rsidRPr="00F30BF4">
        <w:rPr>
          <w:szCs w:val="22"/>
        </w:rPr>
        <w:t xml:space="preserve"> pour la Région de Bruxelles-Capitale, parce que les revenus d'un grand nombre de personnes travaillant sur le territoire de la Région ne sont pas pris en compte (ceux des navetteurs et des fonctionnaires des institutions internationales). L'application de l'autonomie fiscale comme mécanisme de responsabilisation </w:t>
      </w:r>
      <w:r>
        <w:rPr>
          <w:szCs w:val="22"/>
        </w:rPr>
        <w:t>étai</w:t>
      </w:r>
      <w:r w:rsidR="00105B34">
        <w:rPr>
          <w:szCs w:val="22"/>
        </w:rPr>
        <w:t>t</w:t>
      </w:r>
      <w:r>
        <w:rPr>
          <w:szCs w:val="22"/>
        </w:rPr>
        <w:t xml:space="preserve"> </w:t>
      </w:r>
      <w:r w:rsidRPr="00F30BF4">
        <w:rPr>
          <w:szCs w:val="22"/>
        </w:rPr>
        <w:t xml:space="preserve">donc inapproprié. </w:t>
      </w:r>
      <w:r w:rsidR="00D60207">
        <w:rPr>
          <w:szCs w:val="22"/>
        </w:rPr>
        <w:t xml:space="preserve">Compte tenu de la </w:t>
      </w:r>
      <w:r w:rsidRPr="00F30BF4">
        <w:rPr>
          <w:szCs w:val="22"/>
        </w:rPr>
        <w:t xml:space="preserve">présence des institutions internationales et nationales, la Région fait face à des pertes de recettes </w:t>
      </w:r>
      <w:r w:rsidR="005A7E04">
        <w:rPr>
          <w:szCs w:val="22"/>
        </w:rPr>
        <w:t>dues à</w:t>
      </w:r>
      <w:r w:rsidRPr="00F30BF4">
        <w:rPr>
          <w:szCs w:val="22"/>
        </w:rPr>
        <w:t xml:space="preserve"> l'exonération de nombreux bâtiments à la fiscalité immobilière sans oublier le fait que </w:t>
      </w:r>
      <w:r w:rsidR="004621C1" w:rsidRPr="00F30BF4">
        <w:rPr>
          <w:szCs w:val="22"/>
        </w:rPr>
        <w:t>les fonctionnaires internationaux</w:t>
      </w:r>
      <w:r w:rsidRPr="00F30BF4">
        <w:rPr>
          <w:szCs w:val="22"/>
        </w:rPr>
        <w:t xml:space="preserve"> ne paient pas d’impôts en Belgique et ne sont pas comptabilisés dans la base fiscale bruxelloise. Par ailleurs, vu son statut de capitale nationale mais aussi internationale, la Région de Bruxelles-Capitale fait face à des charges additionnelles comparées aux deux autres Régions (bilinguisme, mobilité, formation, sécurité)</w:t>
      </w:r>
      <w:r>
        <w:rPr>
          <w:rStyle w:val="Appelnotedebasdep"/>
          <w:szCs w:val="22"/>
        </w:rPr>
        <w:footnoteReference w:id="109"/>
      </w:r>
      <w:r w:rsidRPr="00F30BF4">
        <w:rPr>
          <w:szCs w:val="22"/>
        </w:rPr>
        <w:t>.</w:t>
      </w:r>
    </w:p>
    <w:p w14:paraId="469A87D9" w14:textId="5DEF785F" w:rsidR="00FF22A8" w:rsidRPr="00A55CD4" w:rsidRDefault="00606389" w:rsidP="00A72528">
      <w:pPr>
        <w:pStyle w:val="Titre3"/>
        <w:ind w:left="1843" w:hanging="403"/>
      </w:pPr>
      <w:bookmarkStart w:id="20" w:name="_Toc96081454"/>
      <w:r w:rsidRPr="00A55CD4">
        <w:t>La prise en compte de</w:t>
      </w:r>
      <w:r w:rsidR="005914B8" w:rsidRPr="00A55CD4">
        <w:t xml:space="preserve">s </w:t>
      </w:r>
      <w:r w:rsidRPr="00A55CD4">
        <w:t>réalité</w:t>
      </w:r>
      <w:r w:rsidR="005914B8" w:rsidRPr="00A55CD4">
        <w:t>s</w:t>
      </w:r>
      <w:r w:rsidRPr="00A55CD4">
        <w:t xml:space="preserve"> bruxelloise</w:t>
      </w:r>
      <w:r w:rsidR="005914B8" w:rsidRPr="00A55CD4">
        <w:t>s</w:t>
      </w:r>
      <w:r w:rsidR="00C50A69" w:rsidRPr="00A55CD4">
        <w:t xml:space="preserve"> dans l’organisation des compétences</w:t>
      </w:r>
      <w:bookmarkEnd w:id="20"/>
    </w:p>
    <w:p w14:paraId="54AA1990" w14:textId="6B74852D" w:rsidR="003B6A3F" w:rsidRDefault="003B6A3F" w:rsidP="003B6A3F">
      <w:pPr>
        <w:spacing w:after="120" w:line="360" w:lineRule="auto"/>
        <w:jc w:val="both"/>
      </w:pPr>
      <w:r>
        <w:t xml:space="preserve">A Bruxelles, les deux Communautés sont compétentes pour les matières culturelles, d’enseignement et les matières personnalisables (santé, aide aux personnes). Cependant, compte tenu du caractère bilingue de Bruxelles, leurs décrets ne peuvent viser que les institutions </w:t>
      </w:r>
      <w:proofErr w:type="spellStart"/>
      <w:r w:rsidR="004621C1">
        <w:t>unicommunautaires</w:t>
      </w:r>
      <w:proofErr w:type="spellEnd"/>
      <w:r>
        <w:t xml:space="preserve"> et non directement les personnes ou les institutions bicommunautaires (par exemple les hôpitaux publics ou CPAS). Comme expliqué </w:t>
      </w:r>
      <w:r w:rsidR="00D60207">
        <w:t>plus haut</w:t>
      </w:r>
      <w:r>
        <w:t>, la Communauté française a,</w:t>
      </w:r>
      <w:r w:rsidR="006B6932">
        <w:t xml:space="preserve"> en 1993</w:t>
      </w:r>
      <w:r>
        <w:t>, transfér</w:t>
      </w:r>
      <w:r w:rsidR="005A376A">
        <w:t>é</w:t>
      </w:r>
      <w:r>
        <w:t xml:space="preserve"> </w:t>
      </w:r>
      <w:r w:rsidR="00D60207">
        <w:t xml:space="preserve">l’exercice de </w:t>
      </w:r>
      <w:r>
        <w:t>certaines compétences à la COCOF.</w:t>
      </w:r>
      <w:r w:rsidR="00E0388C">
        <w:t xml:space="preserve"> Par contre, la Communauté flamande n’a effectué aucun transfert vers la </w:t>
      </w:r>
      <w:r w:rsidR="00A22DD5">
        <w:t>Commission communautaire flamande</w:t>
      </w:r>
      <w:r w:rsidR="00D60207">
        <w:t>, ce qui est normal puisque l’article 138 de la Constitution ne s’applique pas à la Communauté flamande.</w:t>
      </w:r>
    </w:p>
    <w:p w14:paraId="482E6453" w14:textId="0AC819FA" w:rsidR="00E0388C" w:rsidRDefault="00327C18" w:rsidP="00E0388C">
      <w:pPr>
        <w:spacing w:after="120" w:line="360" w:lineRule="auto"/>
        <w:jc w:val="both"/>
        <w:rPr>
          <w:color w:val="231F20"/>
          <w:szCs w:val="24"/>
          <w:shd w:val="clear" w:color="auto" w:fill="FFFFFF"/>
        </w:rPr>
      </w:pPr>
      <w:r>
        <w:t xml:space="preserve">Contrairement aux réformes institutionnelles précédentes, </w:t>
      </w:r>
      <w:r w:rsidR="00D60207">
        <w:t xml:space="preserve">la </w:t>
      </w:r>
      <w:r w:rsidR="00A52456">
        <w:t xml:space="preserve">sixième </w:t>
      </w:r>
      <w:r w:rsidR="00D60207">
        <w:t>réforme de l’Etat</w:t>
      </w:r>
      <w:r>
        <w:t xml:space="preserve"> transfère les compétences communautaires aux Communautés</w:t>
      </w:r>
      <w:r w:rsidR="0087122F">
        <w:t xml:space="preserve"> flamande et française</w:t>
      </w:r>
      <w:r>
        <w:t xml:space="preserve"> et à la </w:t>
      </w:r>
      <w:r w:rsidR="006B6932">
        <w:t xml:space="preserve">COCOM </w:t>
      </w:r>
      <w:r>
        <w:t>à Bruxelles. Les Communautés française et flamande sont</w:t>
      </w:r>
      <w:r w:rsidR="0087122F">
        <w:t>, en principe,</w:t>
      </w:r>
      <w:r>
        <w:t xml:space="preserve"> compéten</w:t>
      </w:r>
      <w:r w:rsidR="005A376A">
        <w:t>t</w:t>
      </w:r>
      <w:r>
        <w:t>es uniquement en région de langue française et en région de langue néerlandaise</w:t>
      </w:r>
      <w:r w:rsidR="000678F1">
        <w:rPr>
          <w:rStyle w:val="Appelnotedebasdep"/>
        </w:rPr>
        <w:footnoteReference w:id="110"/>
      </w:r>
      <w:r>
        <w:t>.</w:t>
      </w:r>
      <w:r w:rsidR="0087122F">
        <w:t xml:space="preserve"> En Région de Bruxelles-</w:t>
      </w:r>
      <w:r w:rsidR="0087122F">
        <w:lastRenderedPageBreak/>
        <w:t xml:space="preserve">Capitale, les compétences sont transférées à la COCOM. </w:t>
      </w:r>
      <w:r w:rsidR="00E0388C">
        <w:t xml:space="preserve">Cette dernière </w:t>
      </w:r>
      <w:r w:rsidR="00E0388C" w:rsidRPr="00E0388C">
        <w:rPr>
          <w:color w:val="231F20"/>
          <w:szCs w:val="24"/>
          <w:shd w:val="clear" w:color="auto" w:fill="FFFFFF"/>
        </w:rPr>
        <w:t>perçoit</w:t>
      </w:r>
      <w:r w:rsidR="00E0388C">
        <w:rPr>
          <w:color w:val="231F20"/>
          <w:szCs w:val="24"/>
          <w:shd w:val="clear" w:color="auto" w:fill="FFFFFF"/>
        </w:rPr>
        <w:t xml:space="preserve"> donc </w:t>
      </w:r>
      <w:r w:rsidR="00E0388C" w:rsidRPr="00E0388C">
        <w:rPr>
          <w:color w:val="231F20"/>
          <w:szCs w:val="24"/>
          <w:shd w:val="clear" w:color="auto" w:fill="FFFFFF"/>
        </w:rPr>
        <w:t xml:space="preserve">l’ensemble des moyens financiers provenant de l’autorité fédérale et destiné au financement des nouvelles compétences transférées </w:t>
      </w:r>
      <w:r w:rsidR="00E0388C">
        <w:rPr>
          <w:color w:val="231F20"/>
          <w:szCs w:val="24"/>
          <w:shd w:val="clear" w:color="auto" w:fill="FFFFFF"/>
        </w:rPr>
        <w:t xml:space="preserve">sur le territoire bilingue de Bruxelles </w:t>
      </w:r>
      <w:r w:rsidR="00E0388C" w:rsidRPr="00E0388C">
        <w:rPr>
          <w:color w:val="231F20"/>
          <w:szCs w:val="24"/>
          <w:shd w:val="clear" w:color="auto" w:fill="FFFFFF"/>
        </w:rPr>
        <w:t xml:space="preserve">(prestations familiales, soins aux personnes âgées, compétences en matière de soins de santé, aide aux personnes). Elle reçoit également une part majoritaire </w:t>
      </w:r>
      <w:r w:rsidR="005A376A">
        <w:rPr>
          <w:color w:val="231F20"/>
          <w:szCs w:val="24"/>
          <w:shd w:val="clear" w:color="auto" w:fill="FFFFFF"/>
        </w:rPr>
        <w:t xml:space="preserve">(celle concernant les hôpitaux non-académiques) </w:t>
      </w:r>
      <w:r w:rsidR="00E0388C" w:rsidRPr="00E0388C">
        <w:rPr>
          <w:color w:val="231F20"/>
          <w:szCs w:val="24"/>
          <w:shd w:val="clear" w:color="auto" w:fill="FFFFFF"/>
        </w:rPr>
        <w:t xml:space="preserve">des moyens destinés aux infrastructures hospitalières et aux services médico-techniques. </w:t>
      </w:r>
    </w:p>
    <w:p w14:paraId="634C9E9F" w14:textId="1F8C855E" w:rsidR="00C365D0" w:rsidRDefault="00DA764E" w:rsidP="00327C18">
      <w:pPr>
        <w:spacing w:after="120" w:line="360" w:lineRule="auto"/>
        <w:jc w:val="both"/>
      </w:pPr>
      <w:r>
        <w:t>L</w:t>
      </w:r>
      <w:r w:rsidR="0087122F">
        <w:t>e</w:t>
      </w:r>
      <w:r w:rsidR="00327C18">
        <w:t xml:space="preserve"> renforcement </w:t>
      </w:r>
      <w:r w:rsidR="00E0388C">
        <w:t>de la COCOM</w:t>
      </w:r>
      <w:r w:rsidR="0087122F">
        <w:t xml:space="preserve"> é</w:t>
      </w:r>
      <w:r w:rsidR="00971FA7">
        <w:t xml:space="preserve">tait le moyen de mettre tous les citoyens bruxellois sur un pied d’égalité dans les matières impliquant pour les personnes des obligations ou des droits à une intervention ou une allocation ou quand </w:t>
      </w:r>
      <w:r w:rsidR="00616DA2">
        <w:t xml:space="preserve">ces matières </w:t>
      </w:r>
      <w:r w:rsidR="00971FA7">
        <w:t>concern</w:t>
      </w:r>
      <w:r w:rsidR="0087122F">
        <w:t>ai</w:t>
      </w:r>
      <w:r w:rsidR="00971FA7">
        <w:t>ent des institutions bicommunautaires (prestations familiales, aide aux personnes, etc.)</w:t>
      </w:r>
      <w:r w:rsidR="00971FA7">
        <w:rPr>
          <w:rStyle w:val="Appelnotedebasdep"/>
        </w:rPr>
        <w:footnoteReference w:id="111"/>
      </w:r>
      <w:r w:rsidR="00971FA7">
        <w:t>. En évitant d’attribuer ces compétences aux deux Communautés sur le territoire de Bruxelles, on évitait l’obligation</w:t>
      </w:r>
      <w:r w:rsidR="00616DA2">
        <w:t>,</w:t>
      </w:r>
      <w:r w:rsidR="00971FA7">
        <w:t xml:space="preserve"> pour les </w:t>
      </w:r>
      <w:r w:rsidR="003C0BE7">
        <w:t>B</w:t>
      </w:r>
      <w:r w:rsidR="00971FA7">
        <w:t>ruxellois</w:t>
      </w:r>
      <w:r w:rsidR="00616DA2">
        <w:t>,</w:t>
      </w:r>
      <w:r w:rsidR="00971FA7">
        <w:t xml:space="preserve"> d’opter </w:t>
      </w:r>
      <w:r w:rsidR="0087122F">
        <w:t xml:space="preserve">pour le </w:t>
      </w:r>
      <w:r w:rsidR="00971FA7">
        <w:t xml:space="preserve">régime d’une ou l’autre </w:t>
      </w:r>
      <w:r w:rsidR="0087122F">
        <w:t>C</w:t>
      </w:r>
      <w:r w:rsidR="00971FA7">
        <w:t>ommunauté.</w:t>
      </w:r>
      <w:r w:rsidR="0087122F">
        <w:t xml:space="preserve"> </w:t>
      </w:r>
      <w:r>
        <w:t xml:space="preserve">Ce compromis politique marquait également une </w:t>
      </w:r>
      <w:r w:rsidR="00E40828">
        <w:t>« </w:t>
      </w:r>
      <w:r>
        <w:t>préférence</w:t>
      </w:r>
      <w:r w:rsidR="00E40828">
        <w:t> »</w:t>
      </w:r>
      <w:r>
        <w:t xml:space="preserve"> pour le fait régional sur le fait communautaire à Bruxelles</w:t>
      </w:r>
      <w:r w:rsidR="00E40828">
        <w:t xml:space="preserve"> même si la COCOM est une institution communautaire.</w:t>
      </w:r>
      <w:r>
        <w:t xml:space="preserve"> </w:t>
      </w:r>
      <w:r w:rsidR="00E40828">
        <w:t>Cependant, politiquement, cette institution est relativement fragile car ses décisions sont soumises au principe de la double signature (francophone et néerlandophone) ce qui pourrait potentiellement bloqu</w:t>
      </w:r>
      <w:r w:rsidR="003C0BE7">
        <w:t>er</w:t>
      </w:r>
      <w:r w:rsidR="00E40828">
        <w:t xml:space="preserve"> son fonctionnement.</w:t>
      </w:r>
    </w:p>
    <w:p w14:paraId="7526D204" w14:textId="2C9179EB" w:rsidR="00BA04F1" w:rsidRDefault="00E007FA" w:rsidP="00BA04F1">
      <w:pPr>
        <w:spacing w:after="120" w:line="360" w:lineRule="auto"/>
        <w:jc w:val="both"/>
      </w:pPr>
      <w:r>
        <w:t xml:space="preserve">Comme prévu dans la </w:t>
      </w:r>
      <w:r w:rsidR="006A1211">
        <w:t xml:space="preserve">sixième </w:t>
      </w:r>
      <w:r>
        <w:t>réforme de l’Etat, il était possible</w:t>
      </w:r>
      <w:r w:rsidR="00BA1035">
        <w:t xml:space="preserve"> (avant la fin de 2015)</w:t>
      </w:r>
      <w:r>
        <w:t xml:space="preserve"> pour des institutions mon</w:t>
      </w:r>
      <w:r w:rsidR="00BA1035">
        <w:t xml:space="preserve">o-communautaires de passer au statut </w:t>
      </w:r>
      <w:r w:rsidR="004621C1">
        <w:t>bicommunautaire</w:t>
      </w:r>
      <w:r w:rsidR="00BA1035">
        <w:t>. La grande majorité des institutions relevant de la COCOF ont ainsi opté pour un statut bicommunautaire</w:t>
      </w:r>
      <w:r w:rsidR="00A22DD5">
        <w:t xml:space="preserve"> et donc un transfert à la COCOM</w:t>
      </w:r>
      <w:r w:rsidR="00BA1035">
        <w:t>. Aucune institution néerlandophone n’a</w:t>
      </w:r>
      <w:r w:rsidR="00A22DD5">
        <w:t>,</w:t>
      </w:r>
      <w:r w:rsidR="00BA1035">
        <w:t xml:space="preserve"> par contre</w:t>
      </w:r>
      <w:r w:rsidR="00A22DD5">
        <w:t>,</w:t>
      </w:r>
      <w:r w:rsidR="00BA1035">
        <w:t xml:space="preserve"> consenti à basculer dans le champ de</w:t>
      </w:r>
      <w:r w:rsidR="003C0BE7">
        <w:t>s</w:t>
      </w:r>
      <w:r w:rsidR="00BA1035">
        <w:t xml:space="preserve"> compétence</w:t>
      </w:r>
      <w:r w:rsidR="003C0BE7">
        <w:t>s</w:t>
      </w:r>
      <w:r w:rsidR="00BA1035">
        <w:t xml:space="preserve"> de la COCOM complexifiant encore un peu plus le paysage institutionnel bruxellois</w:t>
      </w:r>
      <w:r w:rsidR="00616477">
        <w:rPr>
          <w:rStyle w:val="Appelnotedebasdep"/>
        </w:rPr>
        <w:footnoteReference w:id="112"/>
      </w:r>
      <w:r w:rsidR="00A22DD5">
        <w:t>.</w:t>
      </w:r>
    </w:p>
    <w:p w14:paraId="29473C48" w14:textId="16C9E656" w:rsidR="009318A9" w:rsidRDefault="00BA04F1" w:rsidP="00F950B8">
      <w:pPr>
        <w:spacing w:after="120" w:line="360" w:lineRule="auto"/>
        <w:jc w:val="both"/>
      </w:pPr>
      <w:r>
        <w:t>Dans le cadre de la 6</w:t>
      </w:r>
      <w:r w:rsidRPr="00BA04F1">
        <w:rPr>
          <w:vertAlign w:val="superscript"/>
        </w:rPr>
        <w:t>ème</w:t>
      </w:r>
      <w:r>
        <w:t xml:space="preserve"> réforme de l’Etat, certaines compétences communautaires ont également été transférées à la Région de Bruxelles-Capitale (</w:t>
      </w:r>
      <w:r w:rsidR="003C0BE7">
        <w:t xml:space="preserve">les </w:t>
      </w:r>
      <w:r>
        <w:t xml:space="preserve">infrastructures sportives communales, </w:t>
      </w:r>
      <w:r w:rsidR="003C0BE7">
        <w:t xml:space="preserve">la </w:t>
      </w:r>
      <w:r>
        <w:t xml:space="preserve">formation professionnelle et les matières biculturelles d’intérêt régional). Mais, même si certaines compétences ont été attribuées à la Région, cela ne signifie pas que les institutions communautaires ont perdu ces compétences. Ainsi, la COCOF (à laquelle la Communauté française a transféré ces </w:t>
      </w:r>
      <w:r>
        <w:lastRenderedPageBreak/>
        <w:t xml:space="preserve">compétences) et la Communauté flamande peuvent toujours agir dans le cadre de ces compétences de manière parallèle sur le territoire </w:t>
      </w:r>
      <w:r w:rsidR="00FD7490">
        <w:t>b</w:t>
      </w:r>
      <w:r>
        <w:t>ruxellois</w:t>
      </w:r>
      <w:r w:rsidR="00F950B8">
        <w:rPr>
          <w:rStyle w:val="Appelnotedebasdep"/>
        </w:rPr>
        <w:footnoteReference w:id="113"/>
      </w:r>
      <w:r w:rsidR="00F950B8">
        <w:t xml:space="preserve">. </w:t>
      </w:r>
    </w:p>
    <w:p w14:paraId="3408261C" w14:textId="079F13FC" w:rsidR="00AA6122" w:rsidRPr="00007105" w:rsidRDefault="003916F9" w:rsidP="00FF29A7">
      <w:pPr>
        <w:pStyle w:val="texte0"/>
        <w:spacing w:line="360" w:lineRule="auto"/>
        <w:rPr>
          <w:rFonts w:ascii="Times New Roman" w:hAnsi="Times New Roman"/>
          <w:sz w:val="24"/>
        </w:rPr>
      </w:pPr>
      <w:r w:rsidRPr="00007105">
        <w:rPr>
          <w:rFonts w:ascii="Times New Roman" w:hAnsi="Times New Roman"/>
          <w:sz w:val="24"/>
        </w:rPr>
        <w:t>La sixième réforme de l’Etat n’influence pas directement la dotation liée aux transferts de compétences de la Communauté française à la Région wallonne et à la COCOF de 1993. Cependant, étant donné la nature des nouvelles compétences transférées aux Communautés, une nouvelle organisation des compétences devait être mise en place entre les institutions francophones dans les domaines de l’aide aux personnes et des matières personnalisables. En effet, les nouvelles compétences obtenues par la Communauté française à l’occasion de la sixième réforme de l’Etat concernent précisément des matières pour lesquelles des transferts intra-francophones (au profit de la Région wallonne et de la COCOF) étaient survenus en 1993</w:t>
      </w:r>
      <w:r w:rsidRPr="00007105">
        <w:rPr>
          <w:rStyle w:val="Appelnotedebasdep"/>
          <w:rFonts w:ascii="Times New Roman" w:hAnsi="Times New Roman"/>
          <w:sz w:val="24"/>
        </w:rPr>
        <w:footnoteReference w:id="114"/>
      </w:r>
      <w:r w:rsidRPr="00007105">
        <w:rPr>
          <w:rFonts w:ascii="Times New Roman" w:hAnsi="Times New Roman"/>
          <w:sz w:val="24"/>
        </w:rPr>
        <w:t xml:space="preserve">. Par exemple, la politique du troisième âge </w:t>
      </w:r>
      <w:r w:rsidR="00A22DD5">
        <w:rPr>
          <w:rFonts w:ascii="Times New Roman" w:hAnsi="Times New Roman"/>
          <w:sz w:val="24"/>
        </w:rPr>
        <w:t>était</w:t>
      </w:r>
      <w:r w:rsidRPr="00007105">
        <w:rPr>
          <w:rFonts w:ascii="Times New Roman" w:hAnsi="Times New Roman"/>
          <w:sz w:val="24"/>
        </w:rPr>
        <w:t xml:space="preserve"> gérée par la Région wallonne et la COCOF. Dans un souci de cohérence et d’efficacité, il était </w:t>
      </w:r>
      <w:r w:rsidR="00A22DD5">
        <w:rPr>
          <w:rFonts w:ascii="Times New Roman" w:hAnsi="Times New Roman"/>
          <w:sz w:val="24"/>
        </w:rPr>
        <w:t xml:space="preserve">donc </w:t>
      </w:r>
      <w:r w:rsidRPr="00007105">
        <w:rPr>
          <w:rFonts w:ascii="Times New Roman" w:hAnsi="Times New Roman"/>
          <w:sz w:val="24"/>
        </w:rPr>
        <w:t xml:space="preserve">opportun de transférer également à ces deux institutions les nouvelles compétences de la Communauté française liées aux personnes âgées. L’accord de réformes institutionnelles prévoyait spécifiquement que les mécanismes prévus </w:t>
      </w:r>
      <w:r w:rsidR="00A22DD5">
        <w:rPr>
          <w:rFonts w:ascii="Times New Roman" w:hAnsi="Times New Roman"/>
          <w:sz w:val="24"/>
        </w:rPr>
        <w:t>en 1993</w:t>
      </w:r>
      <w:r w:rsidRPr="00007105">
        <w:rPr>
          <w:rFonts w:ascii="Times New Roman" w:hAnsi="Times New Roman"/>
          <w:sz w:val="24"/>
        </w:rPr>
        <w:t xml:space="preserve"> pouvaient être appliqués. Autrement dit, en vertu de l’article 138 de la Constitution, le Parlement de Communauté française, d’une part, et le Parlement Wallon et le groupe linguistique français du Parlement de la Région de Bruxelles-Capitale, d’autre part, pouvaient décider de commun accord et chacun par un décret</w:t>
      </w:r>
      <w:r w:rsidRPr="00007105">
        <w:rPr>
          <w:rStyle w:val="Appelnotedebasdep"/>
          <w:rFonts w:ascii="Times New Roman" w:hAnsi="Times New Roman"/>
          <w:sz w:val="24"/>
        </w:rPr>
        <w:footnoteReference w:id="115"/>
      </w:r>
      <w:r w:rsidRPr="00007105">
        <w:rPr>
          <w:rFonts w:ascii="Times New Roman" w:hAnsi="Times New Roman"/>
          <w:sz w:val="24"/>
        </w:rPr>
        <w:t xml:space="preserve"> que le Parlement et le Gouvernement de la Région wallonne dans la région de langue française et le groupe linguistique français du Parlement de la Région de Bruxelles-Capitale et son Collège pouvaient exercer des compétences communautaires. Par ailleurs, le transfert de certaines compétences (prestations familiales, aides aux personnes, santé) à la COCOM en région bilingue de Bruxelles-Capitale, a suscité un débat entre les francophones sur la répartition des nouvelles compétences de la Communauté française. Pour certaines matières en effet, celle-ci était compétente uniquement sur le territoire </w:t>
      </w:r>
      <w:r w:rsidR="00E40828">
        <w:rPr>
          <w:rFonts w:ascii="Times New Roman" w:hAnsi="Times New Roman"/>
          <w:sz w:val="24"/>
        </w:rPr>
        <w:t>de langue française.</w:t>
      </w:r>
      <w:r w:rsidRPr="00007105">
        <w:rPr>
          <w:rFonts w:ascii="Times New Roman" w:hAnsi="Times New Roman"/>
          <w:sz w:val="24"/>
        </w:rPr>
        <w:t xml:space="preserve"> Or, le Parlement et le </w:t>
      </w:r>
      <w:r w:rsidR="00CD6143">
        <w:rPr>
          <w:rFonts w:ascii="Times New Roman" w:hAnsi="Times New Roman"/>
          <w:sz w:val="24"/>
        </w:rPr>
        <w:t>G</w:t>
      </w:r>
      <w:r w:rsidRPr="00007105">
        <w:rPr>
          <w:rFonts w:ascii="Times New Roman" w:hAnsi="Times New Roman"/>
          <w:sz w:val="24"/>
        </w:rPr>
        <w:t xml:space="preserve">ouvernement de la Communauté française sont composés de parlementaires et de ministres issus des Régions wallonne et de Bruxelles-Capitale. Une logique </w:t>
      </w:r>
      <w:r w:rsidR="007771B2">
        <w:rPr>
          <w:rFonts w:ascii="Times New Roman" w:hAnsi="Times New Roman"/>
          <w:sz w:val="24"/>
        </w:rPr>
        <w:t xml:space="preserve">d’organisation </w:t>
      </w:r>
      <w:r w:rsidRPr="00007105">
        <w:rPr>
          <w:rFonts w:ascii="Times New Roman" w:hAnsi="Times New Roman"/>
          <w:sz w:val="24"/>
        </w:rPr>
        <w:t xml:space="preserve">politique </w:t>
      </w:r>
      <w:r w:rsidR="007771B2">
        <w:rPr>
          <w:rFonts w:ascii="Times New Roman" w:hAnsi="Times New Roman"/>
          <w:sz w:val="24"/>
        </w:rPr>
        <w:t xml:space="preserve">des </w:t>
      </w:r>
      <w:r w:rsidR="007771B2">
        <w:rPr>
          <w:rFonts w:ascii="Times New Roman" w:hAnsi="Times New Roman"/>
          <w:sz w:val="24"/>
        </w:rPr>
        <w:lastRenderedPageBreak/>
        <w:t xml:space="preserve">compétences </w:t>
      </w:r>
      <w:r w:rsidRPr="00007105">
        <w:rPr>
          <w:rFonts w:ascii="Times New Roman" w:hAnsi="Times New Roman"/>
          <w:sz w:val="24"/>
        </w:rPr>
        <w:t xml:space="preserve">a donc incité le transfert de ces compétences de la Communauté française vers la Région wallonne. </w:t>
      </w:r>
      <w:r w:rsidR="007771B2">
        <w:rPr>
          <w:rFonts w:ascii="Times New Roman" w:hAnsi="Times New Roman"/>
          <w:sz w:val="24"/>
        </w:rPr>
        <w:t>Mais,</w:t>
      </w:r>
      <w:r w:rsidRPr="00007105">
        <w:rPr>
          <w:rFonts w:ascii="Times New Roman" w:hAnsi="Times New Roman"/>
          <w:sz w:val="24"/>
        </w:rPr>
        <w:t xml:space="preserve"> étant donné les enjeux liés </w:t>
      </w:r>
      <w:r w:rsidR="007771B2">
        <w:rPr>
          <w:rFonts w:ascii="Times New Roman" w:hAnsi="Times New Roman"/>
          <w:sz w:val="24"/>
        </w:rPr>
        <w:t>au financement de</w:t>
      </w:r>
      <w:r w:rsidRPr="00007105">
        <w:rPr>
          <w:rFonts w:ascii="Times New Roman" w:hAnsi="Times New Roman"/>
          <w:sz w:val="24"/>
        </w:rPr>
        <w:t xml:space="preserve"> ces compétences à l’avenir, </w:t>
      </w:r>
      <w:r w:rsidR="007771B2">
        <w:rPr>
          <w:rFonts w:ascii="Times New Roman" w:hAnsi="Times New Roman"/>
          <w:sz w:val="24"/>
        </w:rPr>
        <w:t xml:space="preserve">c’est davantage </w:t>
      </w:r>
      <w:r w:rsidRPr="00007105">
        <w:rPr>
          <w:rFonts w:ascii="Times New Roman" w:hAnsi="Times New Roman"/>
          <w:sz w:val="24"/>
        </w:rPr>
        <w:t xml:space="preserve">une logique budgétaire </w:t>
      </w:r>
      <w:r w:rsidR="007771B2">
        <w:rPr>
          <w:rFonts w:ascii="Times New Roman" w:hAnsi="Times New Roman"/>
          <w:sz w:val="24"/>
        </w:rPr>
        <w:t>qui justifie</w:t>
      </w:r>
      <w:r w:rsidRPr="00007105">
        <w:rPr>
          <w:rFonts w:ascii="Times New Roman" w:hAnsi="Times New Roman"/>
          <w:sz w:val="24"/>
        </w:rPr>
        <w:t xml:space="preserve"> un transfert vers la Région wallonne qui, contrairement à la Communauté française, dispose d’un pouvoir fiscal propre</w:t>
      </w:r>
      <w:r w:rsidR="00616477">
        <w:rPr>
          <w:rStyle w:val="Appelnotedebasdep"/>
          <w:rFonts w:ascii="Times New Roman" w:hAnsi="Times New Roman"/>
          <w:sz w:val="24"/>
        </w:rPr>
        <w:footnoteReference w:id="116"/>
      </w:r>
      <w:r w:rsidRPr="00007105">
        <w:rPr>
          <w:rFonts w:ascii="Times New Roman" w:hAnsi="Times New Roman"/>
          <w:sz w:val="24"/>
        </w:rPr>
        <w:t xml:space="preserve">. </w:t>
      </w:r>
      <w:r w:rsidR="00FF29A7" w:rsidRPr="00007105">
        <w:rPr>
          <w:rFonts w:ascii="Times New Roman" w:hAnsi="Times New Roman"/>
          <w:sz w:val="24"/>
        </w:rPr>
        <w:t>Cette logique budgétaire ne s’applique cependant pas à la COCOM. N</w:t>
      </w:r>
      <w:r w:rsidR="00AA6122" w:rsidRPr="00007105">
        <w:rPr>
          <w:rFonts w:ascii="Times New Roman" w:hAnsi="Times New Roman"/>
          <w:sz w:val="24"/>
          <w:lang w:eastAsia="zh-TW"/>
        </w:rPr>
        <w:t xml:space="preserve">e disposant pas d’autonomie fiscale et ses marges budgétaires étant restreintes, les enjeux liés aux nouvelles compétences transférées et aux politiques à mettre en œuvre risquent de soulever </w:t>
      </w:r>
      <w:r w:rsidR="00FF29A7" w:rsidRPr="00007105">
        <w:rPr>
          <w:rFonts w:ascii="Times New Roman" w:hAnsi="Times New Roman"/>
          <w:sz w:val="24"/>
          <w:lang w:eastAsia="zh-TW"/>
        </w:rPr>
        <w:t xml:space="preserve">à l’avenir </w:t>
      </w:r>
      <w:r w:rsidR="00AA6122" w:rsidRPr="00007105">
        <w:rPr>
          <w:rFonts w:ascii="Times New Roman" w:hAnsi="Times New Roman"/>
          <w:sz w:val="24"/>
          <w:lang w:eastAsia="zh-TW"/>
        </w:rPr>
        <w:t>des arbitrages budgétaires complexes au sein de l’espace territorial bruxellois</w:t>
      </w:r>
      <w:r w:rsidR="00FF29A7" w:rsidRPr="00007105">
        <w:rPr>
          <w:rFonts w:ascii="Times New Roman" w:hAnsi="Times New Roman"/>
          <w:sz w:val="24"/>
          <w:lang w:eastAsia="zh-TW"/>
        </w:rPr>
        <w:t xml:space="preserve"> et mettent davantage encore sous pression les finances bruxelloises</w:t>
      </w:r>
      <w:r w:rsidR="00EB207D" w:rsidRPr="00007105">
        <w:rPr>
          <w:rStyle w:val="Appelnotedebasdep"/>
          <w:rFonts w:ascii="Times New Roman" w:hAnsi="Times New Roman"/>
          <w:sz w:val="24"/>
          <w:lang w:eastAsia="zh-TW"/>
        </w:rPr>
        <w:footnoteReference w:id="117"/>
      </w:r>
      <w:r w:rsidR="00FF29A7" w:rsidRPr="00007105">
        <w:rPr>
          <w:rFonts w:ascii="Times New Roman" w:hAnsi="Times New Roman"/>
          <w:sz w:val="24"/>
          <w:lang w:eastAsia="zh-TW"/>
        </w:rPr>
        <w:t>.</w:t>
      </w:r>
    </w:p>
    <w:p w14:paraId="732086D0" w14:textId="77777777" w:rsidR="000479C8" w:rsidRDefault="00A72528" w:rsidP="00A72528">
      <w:pPr>
        <w:pStyle w:val="Titre2"/>
      </w:pPr>
      <w:bookmarkStart w:id="21" w:name="_Toc96081455"/>
      <w:r>
        <w:t>Les relations intra-wallonnes</w:t>
      </w:r>
      <w:bookmarkEnd w:id="21"/>
      <w:r>
        <w:t xml:space="preserve"> </w:t>
      </w:r>
    </w:p>
    <w:p w14:paraId="016E0B54" w14:textId="0F8096E3" w:rsidR="005271C1" w:rsidRPr="00A55CD4" w:rsidRDefault="000479C8" w:rsidP="000479C8">
      <w:pPr>
        <w:pStyle w:val="Titre3"/>
      </w:pPr>
      <w:bookmarkStart w:id="22" w:name="_Toc96081456"/>
      <w:r>
        <w:t xml:space="preserve">Les </w:t>
      </w:r>
      <w:r w:rsidR="005271C1" w:rsidRPr="00A55CD4">
        <w:t xml:space="preserve">transfert de </w:t>
      </w:r>
      <w:r w:rsidR="007771B2" w:rsidRPr="00A55CD4">
        <w:t xml:space="preserve">l’exercice de </w:t>
      </w:r>
      <w:r w:rsidR="005271C1" w:rsidRPr="00A55CD4">
        <w:t>certaines compétences de la Région wallonne à la Communauté germanophone</w:t>
      </w:r>
      <w:bookmarkEnd w:id="22"/>
    </w:p>
    <w:p w14:paraId="3C9AD800" w14:textId="377EF620" w:rsidR="00554BEC" w:rsidRDefault="00554BEC" w:rsidP="00554BEC">
      <w:pPr>
        <w:spacing w:after="120" w:line="360" w:lineRule="auto"/>
        <w:jc w:val="both"/>
      </w:pPr>
      <w:bookmarkStart w:id="23" w:name="_Hlk91944520"/>
      <w:r w:rsidRPr="00B964FE">
        <w:t>La Communauté germanophone est la plus petite entité fédérée</w:t>
      </w:r>
      <w:r w:rsidR="007771B2">
        <w:t xml:space="preserve"> en termes démographiques</w:t>
      </w:r>
      <w:r w:rsidRPr="00B964FE">
        <w:t xml:space="preserve">. Alors que les deux grandes Communautés exercent leurs compétences sur un territoire non homogène du point de vue linguistique, la Communauté germanophone exerce ses compétences sur un territoire unilingue, même si des facilités pour les francophones sont prévues dans les communes de la région </w:t>
      </w:r>
      <w:r w:rsidR="007771B2">
        <w:t>allemande</w:t>
      </w:r>
      <w:r w:rsidR="00616477">
        <w:rPr>
          <w:rStyle w:val="Appelnotedebasdep"/>
        </w:rPr>
        <w:footnoteReference w:id="118"/>
      </w:r>
      <w:r w:rsidRPr="00B964FE">
        <w:t xml:space="preserve">. </w:t>
      </w:r>
      <w:r w:rsidRPr="00B964FE">
        <w:rPr>
          <w:rFonts w:eastAsia="Calibri"/>
        </w:rPr>
        <w:t xml:space="preserve">Depuis des décennies, la Communauté germanophone revendique de façon constante et répétée l’autorisation d’exercer les compétences régionales et </w:t>
      </w:r>
      <w:r w:rsidR="007771B2">
        <w:rPr>
          <w:rFonts w:eastAsia="Calibri"/>
        </w:rPr>
        <w:t xml:space="preserve">des prérogatives </w:t>
      </w:r>
      <w:r w:rsidRPr="00B964FE">
        <w:rPr>
          <w:rFonts w:eastAsia="Calibri"/>
        </w:rPr>
        <w:t>provinciales</w:t>
      </w:r>
      <w:r w:rsidRPr="00B964FE">
        <w:rPr>
          <w:rStyle w:val="Appelnotedebasdep"/>
          <w:rFonts w:eastAsia="Calibri"/>
        </w:rPr>
        <w:footnoteReference w:id="119"/>
      </w:r>
      <w:r w:rsidRPr="00B964FE">
        <w:rPr>
          <w:rFonts w:eastAsia="Calibri"/>
        </w:rPr>
        <w:t xml:space="preserve">. </w:t>
      </w:r>
      <w:r w:rsidRPr="00B964FE">
        <w:t>Dans une résolution adoptée le 21 novembre 1977, la Communauté germanophone avait déjà formulé son souhait de voir étendu</w:t>
      </w:r>
      <w:r w:rsidR="006B6932">
        <w:t>es</w:t>
      </w:r>
      <w:r w:rsidRPr="00B964FE">
        <w:t xml:space="preserve"> ses compétences à des matières régionales</w:t>
      </w:r>
      <w:r w:rsidR="001D4082">
        <w:rPr>
          <w:rStyle w:val="Appelnotedebasdep"/>
        </w:rPr>
        <w:footnoteReference w:id="120"/>
      </w:r>
      <w:r w:rsidRPr="00B964FE">
        <w:t>.</w:t>
      </w:r>
      <w:r>
        <w:t xml:space="preserve"> Lors de la révision constitutionnelle du 1</w:t>
      </w:r>
      <w:r w:rsidRPr="00B964FE">
        <w:rPr>
          <w:vertAlign w:val="superscript"/>
        </w:rPr>
        <w:t>er</w:t>
      </w:r>
      <w:r>
        <w:t xml:space="preserve"> juin 1983, l’introduction de l’article 139 de la Constitution visait à répondre </w:t>
      </w:r>
      <w:r w:rsidR="00C56BBE">
        <w:t>à son s</w:t>
      </w:r>
      <w:r>
        <w:t xml:space="preserve">ouhait de maîtriser un certain nombre de leviers et de matières confiés aux Régions. Cet article permet d’attribuer à la Communauté germanophone l’exercice de compétences de la Région wallonne. Sa mise en œuvre suppose l’adoption d’un décret de la Région wallonne et de la Communauté germanophone à la majorité ordinaire contrairement à l’application </w:t>
      </w:r>
      <w:r>
        <w:lastRenderedPageBreak/>
        <w:t>de l’article 138</w:t>
      </w:r>
      <w:r w:rsidR="007771B2">
        <w:t xml:space="preserve"> de la Constitution</w:t>
      </w:r>
      <w:r>
        <w:t xml:space="preserve"> qui nécessite </w:t>
      </w:r>
      <w:r w:rsidR="007771B2">
        <w:t xml:space="preserve">une </w:t>
      </w:r>
      <w:r>
        <w:t>majorité spéciale</w:t>
      </w:r>
      <w:r w:rsidR="007771B2">
        <w:t xml:space="preserve"> du Parlement de la Communauté française et des majorités ordinaires des autres </w:t>
      </w:r>
      <w:r>
        <w:t>parlements concernés</w:t>
      </w:r>
      <w:r>
        <w:rPr>
          <w:rStyle w:val="Appelnotedebasdep"/>
        </w:rPr>
        <w:footnoteReference w:id="121"/>
      </w:r>
      <w:r>
        <w:t>.</w:t>
      </w:r>
    </w:p>
    <w:p w14:paraId="7D04BE72" w14:textId="72516A54" w:rsidR="00C56BBE" w:rsidRDefault="00554BEC" w:rsidP="00554BEC">
      <w:pPr>
        <w:spacing w:after="120" w:line="360" w:lineRule="auto"/>
        <w:jc w:val="both"/>
      </w:pPr>
      <w:r w:rsidRPr="00492039">
        <w:t xml:space="preserve">En vertu de l’article 139 de la Constitution, la Région wallonne a transféré </w:t>
      </w:r>
      <w:r>
        <w:t xml:space="preserve">progressivement à partir de 1994 </w:t>
      </w:r>
      <w:r w:rsidRPr="00492039">
        <w:t>l’exercice de certaines de ses compétences à la Communauté germanophone, qui les exerce dans la région de langue allemande.</w:t>
      </w:r>
      <w:r>
        <w:t xml:space="preserve"> L</w:t>
      </w:r>
      <w:r w:rsidR="007771B2">
        <w:t xml:space="preserve">’exercice des </w:t>
      </w:r>
      <w:r>
        <w:t>compétences transfér</w:t>
      </w:r>
      <w:r w:rsidR="007771B2">
        <w:t>é</w:t>
      </w:r>
      <w:r>
        <w:t xml:space="preserve"> </w:t>
      </w:r>
      <w:r w:rsidR="00B22FA0">
        <w:t>a trait</w:t>
      </w:r>
      <w:r>
        <w:t xml:space="preserve"> aux monuments et sites </w:t>
      </w:r>
      <w:r w:rsidR="007771B2">
        <w:t xml:space="preserve">(1993) </w:t>
      </w:r>
      <w:r>
        <w:t>et les fouilles</w:t>
      </w:r>
      <w:r w:rsidR="007771B2">
        <w:t xml:space="preserve"> (1999)</w:t>
      </w:r>
      <w:r>
        <w:t>, l’emploi</w:t>
      </w:r>
      <w:r w:rsidR="007771B2">
        <w:t xml:space="preserve"> (1999 et 2015)</w:t>
      </w:r>
      <w:r>
        <w:t xml:space="preserve">, les pouvoirs </w:t>
      </w:r>
      <w:r w:rsidR="00B22FA0">
        <w:t xml:space="preserve">locaux </w:t>
      </w:r>
      <w:r w:rsidR="007771B2">
        <w:t>(2004</w:t>
      </w:r>
      <w:r w:rsidR="00B22FA0">
        <w:t xml:space="preserve"> et 2014</w:t>
      </w:r>
      <w:r w:rsidR="007771B2">
        <w:t>)</w:t>
      </w:r>
      <w:r>
        <w:t>, le tourisme</w:t>
      </w:r>
      <w:r w:rsidR="00B22FA0">
        <w:t xml:space="preserve"> (2014)</w:t>
      </w:r>
      <w:r>
        <w:t>, l’aménagement du territoire</w:t>
      </w:r>
      <w:r w:rsidR="00B22FA0">
        <w:t xml:space="preserve"> (2019)</w:t>
      </w:r>
      <w:r>
        <w:t>, l’énergie</w:t>
      </w:r>
      <w:r w:rsidR="00B22FA0">
        <w:t xml:space="preserve"> (2019)</w:t>
      </w:r>
      <w:r>
        <w:t xml:space="preserve"> et la politique du logement</w:t>
      </w:r>
      <w:r w:rsidR="00B22FA0">
        <w:t xml:space="preserve"> (2019)</w:t>
      </w:r>
      <w:r>
        <w:rPr>
          <w:rStyle w:val="Appelnotedebasdep"/>
        </w:rPr>
        <w:footnoteReference w:id="122"/>
      </w:r>
      <w:r>
        <w:t xml:space="preserve">. Suite à ces transferts, la Communauté germanophone bénéficie de dotations de la Région wallonne. </w:t>
      </w:r>
    </w:p>
    <w:p w14:paraId="301A5CDE" w14:textId="32A95A42" w:rsidR="000479C8" w:rsidRPr="00A55CD4" w:rsidRDefault="000479C8" w:rsidP="000479C8">
      <w:pPr>
        <w:pStyle w:val="Titre3"/>
      </w:pPr>
      <w:bookmarkStart w:id="24" w:name="_Toc96081457"/>
      <w:r>
        <w:t>Les enjeux pour la Communauté germanophone</w:t>
      </w:r>
      <w:bookmarkEnd w:id="24"/>
    </w:p>
    <w:p w14:paraId="68B22DFE" w14:textId="5C1123FC" w:rsidR="00B8496D" w:rsidRDefault="00554BEC" w:rsidP="00554BEC">
      <w:pPr>
        <w:spacing w:after="120" w:line="360" w:lineRule="auto"/>
        <w:jc w:val="both"/>
      </w:pPr>
      <w:r>
        <w:t xml:space="preserve">Vu les difficultés financières de la Communauté française, on peut s’interroger sur la viabilité du modèle de la Communauté germanophone. Cependant, les mécanismes de financement de la Communauté germanophone étaient jusqu’à la sixième réforme de l’Etat différents de ceux appliqués aux deux autres Communautés. </w:t>
      </w:r>
      <w:r w:rsidR="00A85FD4">
        <w:t>Au</w:t>
      </w:r>
      <w:r>
        <w:t xml:space="preserve"> fur et à mesure des réformes institutionnelles, la Communauté germanophone a </w:t>
      </w:r>
      <w:r w:rsidR="00C56BBE">
        <w:t xml:space="preserve">pu </w:t>
      </w:r>
      <w:r>
        <w:t>obten</w:t>
      </w:r>
      <w:r w:rsidR="00C56BBE">
        <w:t>ir</w:t>
      </w:r>
      <w:r>
        <w:t xml:space="preserve"> des dotations supplémentaires lui permettant de financer ses compétences. Enfin, dans le cadre d</w:t>
      </w:r>
      <w:r w:rsidR="00B22FA0">
        <w:t xml:space="preserve">u </w:t>
      </w:r>
      <w:r>
        <w:t xml:space="preserve">transfert de </w:t>
      </w:r>
      <w:r w:rsidR="00B22FA0">
        <w:t xml:space="preserve">l’exercice de </w:t>
      </w:r>
      <w:r>
        <w:t xml:space="preserve">compétences </w:t>
      </w:r>
      <w:r w:rsidR="00B22FA0">
        <w:t>de</w:t>
      </w:r>
      <w:r>
        <w:t xml:space="preserve"> la Région wallonne, la Communauté germanophone a toujours pu négocier </w:t>
      </w:r>
      <w:r w:rsidR="00C56BBE">
        <w:t xml:space="preserve">des </w:t>
      </w:r>
      <w:r>
        <w:t>mécanisme</w:t>
      </w:r>
      <w:r w:rsidR="00C56BBE">
        <w:t>s</w:t>
      </w:r>
      <w:r>
        <w:t xml:space="preserve"> de financement sur la base de dotations dont les paramètres d’évolution sont définis dans un décret alors qu’une partie importante des recettes de la Région wallonne provient de recettes fiscales propres ou de dotations liées à des clés fiscales</w:t>
      </w:r>
      <w:r w:rsidR="000C4276">
        <w:rPr>
          <w:rStyle w:val="Appelnotedebasdep"/>
        </w:rPr>
        <w:footnoteReference w:id="123"/>
      </w:r>
      <w:r>
        <w:t xml:space="preserve">. Un basculement dans un modèle totalement régional de financement serait donc particulièrement difficile à gérer pour la Communauté germanophone sans mécanisme de compensation spécifique. </w:t>
      </w:r>
      <w:r w:rsidR="00C56BBE">
        <w:t xml:space="preserve">En effet, </w:t>
      </w:r>
      <w:r w:rsidR="00A85FD4">
        <w:t>même si elle dispose d’un territoire spécifique permettant la mise en œuvre de son autonomie fiscale,</w:t>
      </w:r>
      <w:r w:rsidR="00D70F91">
        <w:t xml:space="preserve"> elle risque, sans mécanisme spécifique de compensation, d’être sous-financée vu les caractéristiques de son marché du travail. </w:t>
      </w:r>
      <w:r w:rsidR="00B22FA0">
        <w:t>Près</w:t>
      </w:r>
      <w:r w:rsidR="00B8496D">
        <w:t xml:space="preserve"> de 30% des salariés habitant en Communauté germanophone travaillent à l’étranger (Allemagne, Pays-Bas, </w:t>
      </w:r>
      <w:r w:rsidR="0068679E">
        <w:t xml:space="preserve">Luxembourg). </w:t>
      </w:r>
      <w:r w:rsidR="0068679E">
        <w:rPr>
          <w:rStyle w:val="Lienhypertexte"/>
          <w:color w:val="000000" w:themeColor="text1"/>
          <w:u w:val="none"/>
        </w:rPr>
        <w:t>E</w:t>
      </w:r>
      <w:r w:rsidR="0068679E" w:rsidRPr="00B8496D">
        <w:rPr>
          <w:rStyle w:val="Lienhypertexte"/>
          <w:color w:val="000000" w:themeColor="text1"/>
          <w:u w:val="none"/>
        </w:rPr>
        <w:t xml:space="preserve">n vertu </w:t>
      </w:r>
      <w:r w:rsidR="0068679E">
        <w:rPr>
          <w:rStyle w:val="Lienhypertexte"/>
          <w:color w:val="000000" w:themeColor="text1"/>
          <w:u w:val="none"/>
        </w:rPr>
        <w:t>des</w:t>
      </w:r>
      <w:r w:rsidR="0068679E" w:rsidRPr="00B8496D">
        <w:rPr>
          <w:rStyle w:val="Lienhypertexte"/>
          <w:color w:val="000000" w:themeColor="text1"/>
          <w:u w:val="none"/>
        </w:rPr>
        <w:t xml:space="preserve"> conventions</w:t>
      </w:r>
      <w:r w:rsidR="0068679E">
        <w:rPr>
          <w:rStyle w:val="Lienhypertexte"/>
          <w:color w:val="000000" w:themeColor="text1"/>
          <w:u w:val="none"/>
        </w:rPr>
        <w:t xml:space="preserve"> fiscales passées entre la Belgique et ces pays</w:t>
      </w:r>
      <w:r w:rsidR="0068679E" w:rsidRPr="00B8496D">
        <w:rPr>
          <w:rStyle w:val="Lienhypertexte"/>
          <w:color w:val="000000" w:themeColor="text1"/>
          <w:u w:val="none"/>
        </w:rPr>
        <w:t>, les revenus des habitants d’un État perçus dans et imposés par l’autre État sont exonérés d’impôt dans le premier. Par conséquent, les revenus professionnels des</w:t>
      </w:r>
      <w:r w:rsidR="0068679E">
        <w:rPr>
          <w:rStyle w:val="Lienhypertexte"/>
          <w:color w:val="000000" w:themeColor="text1"/>
          <w:u w:val="none"/>
        </w:rPr>
        <w:t xml:space="preserve"> </w:t>
      </w:r>
      <w:r w:rsidR="0068679E" w:rsidRPr="00B8496D">
        <w:rPr>
          <w:rStyle w:val="Lienhypertexte"/>
          <w:color w:val="000000" w:themeColor="text1"/>
          <w:u w:val="none"/>
        </w:rPr>
        <w:t xml:space="preserve">10.005 </w:t>
      </w:r>
      <w:r w:rsidR="00B22FA0">
        <w:rPr>
          <w:rStyle w:val="Lienhypertexte"/>
          <w:color w:val="000000" w:themeColor="text1"/>
          <w:u w:val="none"/>
        </w:rPr>
        <w:t>« </w:t>
      </w:r>
      <w:r w:rsidR="0068679E" w:rsidRPr="00B8496D">
        <w:rPr>
          <w:rStyle w:val="Lienhypertexte"/>
          <w:color w:val="000000" w:themeColor="text1"/>
          <w:u w:val="none"/>
        </w:rPr>
        <w:t>navetteurs</w:t>
      </w:r>
      <w:r w:rsidR="00B22FA0">
        <w:rPr>
          <w:rStyle w:val="Lienhypertexte"/>
          <w:color w:val="000000" w:themeColor="text1"/>
          <w:u w:val="none"/>
        </w:rPr>
        <w:t> »</w:t>
      </w:r>
      <w:r w:rsidR="00B22FA0">
        <w:rPr>
          <w:rStyle w:val="Appelnotedebasdep"/>
          <w:color w:val="000000" w:themeColor="text1"/>
        </w:rPr>
        <w:footnoteReference w:id="124"/>
      </w:r>
      <w:r w:rsidR="0068679E" w:rsidRPr="00B8496D">
        <w:rPr>
          <w:rStyle w:val="Lienhypertexte"/>
          <w:color w:val="000000" w:themeColor="text1"/>
          <w:u w:val="none"/>
        </w:rPr>
        <w:t xml:space="preserve"> sortants sont </w:t>
      </w:r>
      <w:r w:rsidR="0068679E" w:rsidRPr="00B8496D">
        <w:rPr>
          <w:rStyle w:val="Lienhypertexte"/>
          <w:color w:val="000000" w:themeColor="text1"/>
          <w:u w:val="none"/>
        </w:rPr>
        <w:lastRenderedPageBreak/>
        <w:t>exclusivement imposés dans l’État dans lequel ils travaillent, bien qu’ils résident en région de langue allemande. Au manque à gagner que connaît déjà la Communauté germanophone sous l’angle de sa part dans l’IPP fédéral, pourrait s’ajouter, dès lors qu’elle exercerait toutes les compétences régionales, un autre manque à gagner proportionnel à la partie, liée au résultat net des flux internationaux de navetteurs, de l’IPP régional et des différentes ressources financières fondées sur l’IPP fédéral qui reviendraient à la Région germanophone. À nouveau, eu égard au résultat net des flux internationaux de navetteurs, il semblerait que les moyens nécessaires à l’exercice, par les autorités fédérées germanophones, de leur autonomie fiscale et financière accrue seraient insuffisants, toutes autres choses restant égales</w:t>
      </w:r>
      <w:r w:rsidR="00C32F28">
        <w:rPr>
          <w:rStyle w:val="Lienhypertexte"/>
          <w:color w:val="000000" w:themeColor="text1"/>
          <w:u w:val="none"/>
        </w:rPr>
        <w:t xml:space="preserve"> par ailleurs</w:t>
      </w:r>
      <w:r w:rsidR="0068679E">
        <w:rPr>
          <w:rStyle w:val="Appelnotedebasdep"/>
          <w:color w:val="000000" w:themeColor="text1"/>
        </w:rPr>
        <w:footnoteReference w:id="125"/>
      </w:r>
      <w:r w:rsidR="0068679E" w:rsidRPr="00B8496D">
        <w:rPr>
          <w:rStyle w:val="Lienhypertexte"/>
          <w:color w:val="000000" w:themeColor="text1"/>
          <w:u w:val="none"/>
        </w:rPr>
        <w:t>.</w:t>
      </w:r>
    </w:p>
    <w:p w14:paraId="1B5D3F56" w14:textId="2ED51211" w:rsidR="00554BEC" w:rsidRDefault="00554BEC" w:rsidP="00554BEC">
      <w:pPr>
        <w:spacing w:after="120" w:line="360" w:lineRule="auto"/>
        <w:jc w:val="both"/>
      </w:pPr>
      <w:r>
        <w:t>La Communauté germanophone revendique</w:t>
      </w:r>
      <w:r w:rsidR="0068679E">
        <w:t xml:space="preserve"> néanmoins aujourd’</w:t>
      </w:r>
      <w:r>
        <w:t>hui l</w:t>
      </w:r>
      <w:r w:rsidR="0068679E">
        <w:t xml:space="preserve">a poursuite du </w:t>
      </w:r>
      <w:r>
        <w:t>transfert de</w:t>
      </w:r>
      <w:r w:rsidR="00C3492E">
        <w:t>s compétences régionales</w:t>
      </w:r>
      <w:r w:rsidR="003F3A5C">
        <w:t>, notamment économiques,</w:t>
      </w:r>
      <w:r w:rsidR="00C3492E">
        <w:t xml:space="preserve"> en vertu de l’article 139 de la Constitution et </w:t>
      </w:r>
      <w:r>
        <w:t>souhaite s’acheminer vers un statut de « Communauté/Région »</w:t>
      </w:r>
      <w:r w:rsidR="00C3492E">
        <w:t xml:space="preserve"> (entité à part entière disposant des compétences régionales et communautaires) dans le cadre d’une future réforme de l’Etat</w:t>
      </w:r>
      <w:r>
        <w:t xml:space="preserve">. </w:t>
      </w:r>
    </w:p>
    <w:p w14:paraId="6E3D067F" w14:textId="76532551" w:rsidR="004621C1" w:rsidRPr="00A55CD4" w:rsidRDefault="00361A40" w:rsidP="000479C8">
      <w:pPr>
        <w:pStyle w:val="Titre2"/>
      </w:pPr>
      <w:bookmarkStart w:id="25" w:name="_Toc96081458"/>
      <w:bookmarkEnd w:id="23"/>
      <w:r w:rsidRPr="00A55CD4">
        <w:t>Les</w:t>
      </w:r>
      <w:r w:rsidR="00A50741" w:rsidRPr="00A55CD4">
        <w:t xml:space="preserve"> provinces</w:t>
      </w:r>
      <w:r w:rsidRPr="00A55CD4">
        <w:t xml:space="preserve"> dans la Belgique fédérale</w:t>
      </w:r>
      <w:r w:rsidR="000479C8">
        <w:t xml:space="preserve"> et leurs relations avec les entités fédérées</w:t>
      </w:r>
      <w:r w:rsidR="00C40DA7" w:rsidRPr="00A55CD4">
        <w:rPr>
          <w:rStyle w:val="Appelnotedebasdep"/>
          <w:bCs/>
        </w:rPr>
        <w:footnoteReference w:id="126"/>
      </w:r>
      <w:bookmarkEnd w:id="25"/>
    </w:p>
    <w:p w14:paraId="1D18DC0F" w14:textId="79830EDB" w:rsidR="00B01A24" w:rsidRDefault="00A50741" w:rsidP="00B01A24">
      <w:pPr>
        <w:spacing w:after="120" w:line="360" w:lineRule="auto"/>
        <w:jc w:val="both"/>
      </w:pPr>
      <w:r>
        <w:t xml:space="preserve">Une analyse de la complexité fédérale belge ne peut ignorer </w:t>
      </w:r>
      <w:r w:rsidR="00554BEC">
        <w:t xml:space="preserve">un autre niveau important de décentralisation : </w:t>
      </w:r>
      <w:r>
        <w:t xml:space="preserve">les provinces. </w:t>
      </w:r>
      <w:r w:rsidR="001D4082">
        <w:t>En</w:t>
      </w:r>
      <w:r>
        <w:t xml:space="preserve"> tant que divisions territoriales et administratives</w:t>
      </w:r>
      <w:r w:rsidR="00554BEC">
        <w:t>,</w:t>
      </w:r>
      <w:r>
        <w:t xml:space="preserve"> </w:t>
      </w:r>
      <w:r w:rsidR="001D4082">
        <w:t xml:space="preserve">les provinces </w:t>
      </w:r>
      <w:r>
        <w:t xml:space="preserve">sont antérieures à la naissance de la Belgique et remontent aux départements français datant de l’annexion des territoires des Pays-Bas autrichiens et des Principautés de Liège et Stavelot-Malmédy en 1795 par </w:t>
      </w:r>
      <w:r w:rsidR="00B22FA0">
        <w:t>la France</w:t>
      </w:r>
      <w:r>
        <w:rPr>
          <w:rStyle w:val="Appelnotedebasdep"/>
        </w:rPr>
        <w:footnoteReference w:id="127"/>
      </w:r>
      <w:r>
        <w:t>.</w:t>
      </w:r>
      <w:r w:rsidR="0039523E">
        <w:t xml:space="preserve"> </w:t>
      </w:r>
      <w:r w:rsidR="00492016">
        <w:t>Aujourd’hui, les provinces trouvent difficilement leur place dans la Belgique fédérale</w:t>
      </w:r>
      <w:r w:rsidR="00361A40">
        <w:t xml:space="preserve"> et sont considérées comme des pouvoirs locaux</w:t>
      </w:r>
      <w:r w:rsidR="00492016">
        <w:t>. Pourtant, un des premiers modèles de fédéralisme belge se basait sur une structure provinciale</w:t>
      </w:r>
      <w:r w:rsidR="00492016">
        <w:rPr>
          <w:rStyle w:val="Appelnotedebasdep"/>
        </w:rPr>
        <w:footnoteReference w:id="128"/>
      </w:r>
      <w:r w:rsidR="00492016">
        <w:t xml:space="preserve">. </w:t>
      </w:r>
    </w:p>
    <w:p w14:paraId="7C44258D" w14:textId="41541F14" w:rsidR="0046384E" w:rsidRDefault="0046384E" w:rsidP="0046384E">
      <w:pPr>
        <w:spacing w:after="120" w:line="360" w:lineRule="auto"/>
        <w:jc w:val="both"/>
      </w:pPr>
      <w:r>
        <w:rPr>
          <w:lang w:val="fr-FR"/>
        </w:rPr>
        <w:t>Les provinces sont à la fois des e</w:t>
      </w:r>
      <w:r w:rsidRPr="00405AFF">
        <w:rPr>
          <w:lang w:val="fr-FR"/>
        </w:rPr>
        <w:t>ntité</w:t>
      </w:r>
      <w:r>
        <w:rPr>
          <w:lang w:val="fr-FR"/>
        </w:rPr>
        <w:t>s</w:t>
      </w:r>
      <w:r w:rsidRPr="00405AFF">
        <w:rPr>
          <w:lang w:val="fr-FR"/>
        </w:rPr>
        <w:t xml:space="preserve"> décentralisée</w:t>
      </w:r>
      <w:r>
        <w:rPr>
          <w:lang w:val="fr-FR"/>
        </w:rPr>
        <w:t>s</w:t>
      </w:r>
      <w:r w:rsidRPr="00405AFF">
        <w:rPr>
          <w:lang w:val="fr-FR"/>
        </w:rPr>
        <w:t xml:space="preserve"> (quand elle</w:t>
      </w:r>
      <w:r w:rsidR="00681FB3">
        <w:rPr>
          <w:lang w:val="fr-FR"/>
        </w:rPr>
        <w:t>s</w:t>
      </w:r>
      <w:r w:rsidRPr="00405AFF">
        <w:rPr>
          <w:lang w:val="fr-FR"/>
        </w:rPr>
        <w:t xml:space="preserve"> agi</w:t>
      </w:r>
      <w:r w:rsidR="00681FB3">
        <w:rPr>
          <w:lang w:val="fr-FR"/>
        </w:rPr>
        <w:t xml:space="preserve">ssent </w:t>
      </w:r>
      <w:r w:rsidRPr="00405AFF">
        <w:rPr>
          <w:lang w:val="fr-FR"/>
        </w:rPr>
        <w:t xml:space="preserve">dans les limites de </w:t>
      </w:r>
      <w:r w:rsidR="00361A40">
        <w:rPr>
          <w:lang w:val="fr-FR"/>
        </w:rPr>
        <w:t xml:space="preserve">leur </w:t>
      </w:r>
      <w:r w:rsidRPr="00405AFF">
        <w:rPr>
          <w:lang w:val="fr-FR"/>
        </w:rPr>
        <w:t>autonomie</w:t>
      </w:r>
      <w:r w:rsidR="00361A40">
        <w:rPr>
          <w:lang w:val="fr-FR"/>
        </w:rPr>
        <w:t xml:space="preserve"> </w:t>
      </w:r>
      <w:r>
        <w:rPr>
          <w:lang w:val="fr-FR"/>
        </w:rPr>
        <w:t>à savoir les matières qui relèvent de l’intérêt provincial</w:t>
      </w:r>
      <w:r w:rsidRPr="00405AFF">
        <w:rPr>
          <w:lang w:val="fr-FR"/>
        </w:rPr>
        <w:t>) et déconcentrée</w:t>
      </w:r>
      <w:r>
        <w:rPr>
          <w:lang w:val="fr-FR"/>
        </w:rPr>
        <w:t>s</w:t>
      </w:r>
      <w:r w:rsidRPr="00405AFF">
        <w:rPr>
          <w:lang w:val="fr-FR"/>
        </w:rPr>
        <w:t xml:space="preserve"> quand </w:t>
      </w:r>
      <w:r w:rsidR="00B01A24">
        <w:t xml:space="preserve">elles sont chargées de l’exécution de certaines décisions prises par les autres pouvoirs (autorité fédérale ou régionale). Les provinces exercent </w:t>
      </w:r>
      <w:r w:rsidR="00681FB3">
        <w:t>donc</w:t>
      </w:r>
      <w:r w:rsidR="00B01A24">
        <w:t xml:space="preserve"> une série de missions obligatoires, qui sont identiques </w:t>
      </w:r>
      <w:r w:rsidR="00B01A24">
        <w:lastRenderedPageBreak/>
        <w:t xml:space="preserve">pour chaque province et des missions facultatives qui sont propres à chaque province. </w:t>
      </w:r>
      <w:r w:rsidR="00361A40">
        <w:t>En</w:t>
      </w:r>
      <w:r w:rsidR="00B01A24">
        <w:t xml:space="preserve"> tant que pouvoir subordonné, </w:t>
      </w:r>
      <w:r w:rsidR="00361A40">
        <w:t>elles</w:t>
      </w:r>
      <w:r w:rsidR="00B01A24">
        <w:t xml:space="preserve"> sont</w:t>
      </w:r>
      <w:r w:rsidR="00B22FA0">
        <w:t xml:space="preserve"> notamment</w:t>
      </w:r>
      <w:r w:rsidR="00B01A24">
        <w:t xml:space="preserve"> soumises à la tutelle </w:t>
      </w:r>
      <w:r w:rsidR="00B22FA0">
        <w:t xml:space="preserve">générale </w:t>
      </w:r>
      <w:r w:rsidR="00B01A24">
        <w:t>des Régions</w:t>
      </w:r>
      <w:r w:rsidR="00B22FA0">
        <w:t xml:space="preserve"> et à la tutelle spécifique des Communautés et de l’autorité fédérale là où elles existent</w:t>
      </w:r>
      <w:r w:rsidR="00B01A24">
        <w:t>. Parmi les missions obligatoires, les provinces exercent la tutelle spéciale d’approbation sur les actes des autorités communales pour certaines matières (budget et personnel), le maintien de l’ordre…</w:t>
      </w:r>
      <w:r>
        <w:t xml:space="preserve"> La Constitution </w:t>
      </w:r>
      <w:r w:rsidR="005C5E26">
        <w:t>leur</w:t>
      </w:r>
      <w:r>
        <w:t xml:space="preserve"> réserve un domaine d’action propre, celui de l’intérêt provincial sans définir précisément les compétences.</w:t>
      </w:r>
      <w:r w:rsidR="005C199E">
        <w:t xml:space="preserve"> E</w:t>
      </w:r>
      <w:r w:rsidR="00681FB3">
        <w:t>lle</w:t>
      </w:r>
      <w:r w:rsidR="00F409F5">
        <w:t>s</w:t>
      </w:r>
      <w:r w:rsidR="00681FB3">
        <w:t xml:space="preserve"> </w:t>
      </w:r>
      <w:r>
        <w:t>dispose</w:t>
      </w:r>
      <w:r w:rsidR="00F409F5">
        <w:t>nt</w:t>
      </w:r>
      <w:r>
        <w:t xml:space="preserve"> donc d’une </w:t>
      </w:r>
      <w:r w:rsidR="008D4F1F">
        <w:t>prérogative</w:t>
      </w:r>
      <w:r>
        <w:t xml:space="preserve"> très large puisqu’elle n’est limitée que par les matières qui sont exclues de leur compétence par la Constitution, la loi fédérale ou le décret régional. </w:t>
      </w:r>
      <w:r w:rsidR="00681FB3">
        <w:t xml:space="preserve">Cette capacité d’action </w:t>
      </w:r>
      <w:r w:rsidR="00405AFF" w:rsidRPr="00405AFF">
        <w:rPr>
          <w:lang w:val="fr-FR"/>
        </w:rPr>
        <w:t>leur permet de répondre à des besoins spécifiques à leur territoire et à leur population (enseignement; infrastructures sociales, culturelles, touristiques, économiques, transports, travaux publics, etc.)</w:t>
      </w:r>
      <w:r w:rsidR="00681FB3">
        <w:rPr>
          <w:lang w:val="fr-FR"/>
        </w:rPr>
        <w:t xml:space="preserve"> et souvent en complémentarité avec </w:t>
      </w:r>
      <w:r>
        <w:t>d’autres niveaux de pouvoir.</w:t>
      </w:r>
      <w:r w:rsidR="005C199E" w:rsidRPr="005C199E">
        <w:rPr>
          <w:lang w:val="fr-FR"/>
        </w:rPr>
        <w:t xml:space="preserve"> </w:t>
      </w:r>
      <w:r w:rsidR="005C199E">
        <w:rPr>
          <w:lang w:val="fr-FR"/>
        </w:rPr>
        <w:t>En 2017, près de 60% des dépenses réalisées par les provinces wallonnes concernent des compétences communautaires</w:t>
      </w:r>
      <w:r w:rsidR="005C199E">
        <w:rPr>
          <w:rStyle w:val="Appelnotedebasdep"/>
          <w:lang w:val="fr-FR"/>
        </w:rPr>
        <w:footnoteReference w:id="129"/>
      </w:r>
      <w:r w:rsidR="005C199E">
        <w:rPr>
          <w:lang w:val="fr-FR"/>
        </w:rPr>
        <w:t>.</w:t>
      </w:r>
    </w:p>
    <w:p w14:paraId="687EF46B" w14:textId="1A468FCB" w:rsidR="003775D7" w:rsidRDefault="00681FB3" w:rsidP="006B3C24">
      <w:pPr>
        <w:tabs>
          <w:tab w:val="num" w:pos="720"/>
        </w:tabs>
        <w:spacing w:after="120" w:line="360" w:lineRule="auto"/>
        <w:jc w:val="both"/>
        <w:rPr>
          <w:lang w:val="fr-FR"/>
        </w:rPr>
      </w:pPr>
      <w:r>
        <w:t>Pour mener à bien ces missions, l</w:t>
      </w:r>
      <w:r w:rsidR="006B3C24">
        <w:rPr>
          <w:lang w:val="fr-FR"/>
        </w:rPr>
        <w:t xml:space="preserve">es provinces reçoivent des ressources d’autres niveaux de pouvoirs mais disposent également d’un </w:t>
      </w:r>
      <w:r w:rsidR="006B3C24" w:rsidRPr="00405AFF">
        <w:rPr>
          <w:lang w:val="fr-FR"/>
        </w:rPr>
        <w:t>pouvoir fiscal pour pallier l’absence</w:t>
      </w:r>
      <w:r w:rsidR="005C199E">
        <w:rPr>
          <w:lang w:val="fr-FR"/>
        </w:rPr>
        <w:t xml:space="preserve"> ou le manque</w:t>
      </w:r>
      <w:r w:rsidR="006B3C24" w:rsidRPr="00405AFF">
        <w:rPr>
          <w:lang w:val="fr-FR"/>
        </w:rPr>
        <w:t xml:space="preserve"> de financement </w:t>
      </w:r>
      <w:r w:rsidR="006B3C24">
        <w:rPr>
          <w:lang w:val="fr-FR"/>
        </w:rPr>
        <w:t>(</w:t>
      </w:r>
      <w:r w:rsidR="00405AFF" w:rsidRPr="00405AFF">
        <w:rPr>
          <w:lang w:val="fr-FR"/>
        </w:rPr>
        <w:t>additionne</w:t>
      </w:r>
      <w:r w:rsidR="003F3A5C">
        <w:rPr>
          <w:lang w:val="fr-FR"/>
        </w:rPr>
        <w:t>l</w:t>
      </w:r>
      <w:r w:rsidR="00405AFF" w:rsidRPr="00405AFF">
        <w:rPr>
          <w:lang w:val="fr-FR"/>
        </w:rPr>
        <w:t>s au précompte immobiliers</w:t>
      </w:r>
      <w:r w:rsidR="005C199E">
        <w:rPr>
          <w:lang w:val="fr-FR"/>
        </w:rPr>
        <w:t xml:space="preserve"> et</w:t>
      </w:r>
      <w:r w:rsidR="006B3C24">
        <w:rPr>
          <w:lang w:val="fr-FR"/>
        </w:rPr>
        <w:t xml:space="preserve"> </w:t>
      </w:r>
      <w:r w:rsidR="00405AFF" w:rsidRPr="00405AFF">
        <w:rPr>
          <w:lang w:val="fr-FR"/>
        </w:rPr>
        <w:t>taxes</w:t>
      </w:r>
      <w:r w:rsidR="006B3C24">
        <w:rPr>
          <w:lang w:val="fr-FR"/>
        </w:rPr>
        <w:t xml:space="preserve">). </w:t>
      </w:r>
      <w:r w:rsidR="00361A40">
        <w:rPr>
          <w:lang w:val="fr-FR"/>
        </w:rPr>
        <w:t>Ainsi, sur la base de leurs recettes propres, elles</w:t>
      </w:r>
      <w:r w:rsidR="00C45902">
        <w:rPr>
          <w:lang w:val="fr-FR"/>
        </w:rPr>
        <w:t xml:space="preserve"> </w:t>
      </w:r>
      <w:r w:rsidR="00361A40">
        <w:rPr>
          <w:lang w:val="fr-FR"/>
        </w:rPr>
        <w:t>ont pallié partiellement</w:t>
      </w:r>
      <w:r w:rsidR="00C45902">
        <w:rPr>
          <w:lang w:val="fr-FR"/>
        </w:rPr>
        <w:t xml:space="preserve"> les problèmes de financement de la Communauté française en exerçant certaines compétences</w:t>
      </w:r>
      <w:r w:rsidR="005C199E">
        <w:rPr>
          <w:lang w:val="fr-FR"/>
        </w:rPr>
        <w:t xml:space="preserve"> communautaires</w:t>
      </w:r>
      <w:r w:rsidR="00361A40">
        <w:rPr>
          <w:lang w:val="fr-FR"/>
        </w:rPr>
        <w:t xml:space="preserve"> sur le territoire de la Région wallonne</w:t>
      </w:r>
      <w:r w:rsidR="00C45902">
        <w:rPr>
          <w:lang w:val="fr-FR"/>
        </w:rPr>
        <w:t>.</w:t>
      </w:r>
      <w:r w:rsidR="003775D7">
        <w:rPr>
          <w:lang w:val="fr-FR"/>
        </w:rPr>
        <w:t xml:space="preserve"> </w:t>
      </w:r>
    </w:p>
    <w:p w14:paraId="3E3C954D" w14:textId="7545479E" w:rsidR="00405AFF" w:rsidRDefault="003775D7" w:rsidP="006B3C24">
      <w:pPr>
        <w:tabs>
          <w:tab w:val="num" w:pos="720"/>
        </w:tabs>
        <w:spacing w:after="120" w:line="360" w:lineRule="auto"/>
        <w:jc w:val="both"/>
        <w:rPr>
          <w:lang w:val="fr-FR"/>
        </w:rPr>
      </w:pPr>
      <w:r>
        <w:rPr>
          <w:lang w:val="fr-FR"/>
        </w:rPr>
        <w:t xml:space="preserve">Depuis la réforme institutionnelle de 2001, l’organisation et la tutelle des provinces </w:t>
      </w:r>
      <w:r w:rsidR="005C199E">
        <w:rPr>
          <w:lang w:val="fr-FR"/>
        </w:rPr>
        <w:t>sont</w:t>
      </w:r>
      <w:r>
        <w:rPr>
          <w:lang w:val="fr-FR"/>
        </w:rPr>
        <w:t xml:space="preserve"> régionalisée</w:t>
      </w:r>
      <w:r w:rsidR="005C199E">
        <w:rPr>
          <w:lang w:val="fr-FR"/>
        </w:rPr>
        <w:t>s</w:t>
      </w:r>
      <w:r>
        <w:rPr>
          <w:lang w:val="fr-FR"/>
        </w:rPr>
        <w:t xml:space="preserve">. </w:t>
      </w:r>
      <w:r w:rsidR="00C45902">
        <w:t>En Flandre, depuis 2016</w:t>
      </w:r>
      <w:r w:rsidR="00C45902">
        <w:rPr>
          <w:rStyle w:val="Appelnotedebasdep"/>
        </w:rPr>
        <w:footnoteReference w:id="130"/>
      </w:r>
      <w:r w:rsidR="00C45902">
        <w:t xml:space="preserve">, les matières communautaires (matières personnalisables) gérées par les provinces flamandes </w:t>
      </w:r>
      <w:r w:rsidR="008D4F1F">
        <w:t>sont désormais exercées par l</w:t>
      </w:r>
      <w:r w:rsidR="00C45902">
        <w:t>a Communauté flamande</w:t>
      </w:r>
      <w:r w:rsidR="008D4F1F">
        <w:t xml:space="preserve"> (reprise de prérogatives provinciales)</w:t>
      </w:r>
      <w:r w:rsidR="00C45902">
        <w:t xml:space="preserve"> et une partie du pouvoir fiscal a été repris par la Région flamande. En Wallonie, de nombreuses tentatives de réformes </w:t>
      </w:r>
      <w:r>
        <w:t>ont échoué</w:t>
      </w:r>
      <w:r w:rsidR="00C45902">
        <w:t xml:space="preserve">. </w:t>
      </w:r>
      <w:r>
        <w:t>Dans sa déclaration de politique régionale</w:t>
      </w:r>
      <w:r w:rsidR="008D4F1F">
        <w:t xml:space="preserve"> de 2019</w:t>
      </w:r>
      <w:r>
        <w:t xml:space="preserve">, le gouvernement wallon </w:t>
      </w:r>
      <w:r w:rsidR="006273C1">
        <w:t>prévoit de transférer</w:t>
      </w:r>
      <w:r>
        <w:t xml:space="preserve"> le financement des zones de secours aux provinces </w:t>
      </w:r>
      <w:r w:rsidRPr="00405AFF">
        <w:rPr>
          <w:lang w:val="fr-FR"/>
        </w:rPr>
        <w:t>tout en opérant un recentrage de leurs missions pour préserver leur équilibre financier.</w:t>
      </w:r>
      <w:r>
        <w:rPr>
          <w:lang w:val="fr-FR"/>
        </w:rPr>
        <w:t xml:space="preserve"> Cette réforme </w:t>
      </w:r>
      <w:r w:rsidR="008D4F1F">
        <w:rPr>
          <w:lang w:val="fr-FR"/>
        </w:rPr>
        <w:t>a été mise en œuvre dès 2020 par voie de circulaire même s’il existe toujours un contentieux au Conseil d’Etat.</w:t>
      </w:r>
      <w:r>
        <w:rPr>
          <w:lang w:val="fr-FR"/>
        </w:rPr>
        <w:t xml:space="preserve"> </w:t>
      </w:r>
      <w:r w:rsidR="006273C1">
        <w:rPr>
          <w:lang w:val="fr-FR"/>
        </w:rPr>
        <w:t>Enfin</w:t>
      </w:r>
      <w:r>
        <w:rPr>
          <w:lang w:val="fr-FR"/>
        </w:rPr>
        <w:t xml:space="preserve">, depuis la scission de la province de Brabant lors de la réforme institutionnelle de 1993, la province de Brabant </w:t>
      </w:r>
      <w:r w:rsidR="005C199E">
        <w:rPr>
          <w:lang w:val="fr-FR"/>
        </w:rPr>
        <w:t>est</w:t>
      </w:r>
      <w:r>
        <w:rPr>
          <w:lang w:val="fr-FR"/>
        </w:rPr>
        <w:t xml:space="preserve"> scindée en deux et les compétences sur le territoire de la Région de Bruxelles-Capitale ont été transférées à la Région et aux institutions communautaires bruxelloises.</w:t>
      </w:r>
    </w:p>
    <w:p w14:paraId="04216A59" w14:textId="125006E8" w:rsidR="008D389B" w:rsidRPr="00A72528" w:rsidRDefault="008D389B" w:rsidP="000479C8">
      <w:pPr>
        <w:pStyle w:val="Titre1"/>
      </w:pPr>
      <w:bookmarkStart w:id="26" w:name="_Toc96081459"/>
      <w:r w:rsidRPr="00A72528">
        <w:lastRenderedPageBreak/>
        <w:t>Le système fédéral belge asymétrique</w:t>
      </w:r>
      <w:bookmarkEnd w:id="26"/>
    </w:p>
    <w:p w14:paraId="0F76DAE4" w14:textId="08D2CA99" w:rsidR="005D6B70" w:rsidRDefault="005D6B70" w:rsidP="006273C1">
      <w:pPr>
        <w:spacing w:after="120" w:line="360" w:lineRule="auto"/>
        <w:jc w:val="both"/>
      </w:pPr>
      <w:r>
        <w:t>Le système institutionnel a connu des mutations permanentes entre 1970 et 2014</w:t>
      </w:r>
      <w:r w:rsidR="00442599">
        <w:t xml:space="preserve"> et est d’une rare complexité. </w:t>
      </w:r>
      <w:r>
        <w:t xml:space="preserve">De post-unitaires en 1970, </w:t>
      </w:r>
      <w:r w:rsidR="00442599">
        <w:t>les institutions</w:t>
      </w:r>
      <w:r>
        <w:t xml:space="preserve"> sont devenues </w:t>
      </w:r>
      <w:proofErr w:type="spellStart"/>
      <w:r>
        <w:t>préfédérales</w:t>
      </w:r>
      <w:proofErr w:type="spellEnd"/>
      <w:r>
        <w:t xml:space="preserve"> en 1980 et en 1988. En 1993, le fédéralisme s’est réellement imposé. Ce fédéralisme, cependant, ne ressemble à aucun autre</w:t>
      </w:r>
      <w:r w:rsidR="00442599">
        <w:t>. Il devient presque impossible – et ceci est un cas unique dans l’histoire des régimes fédéraux – de dénombrer les entités fédérées en Belgique</w:t>
      </w:r>
      <w:r w:rsidR="00616477">
        <w:rPr>
          <w:rStyle w:val="Appelnotedebasdep"/>
        </w:rPr>
        <w:footnoteReference w:id="131"/>
      </w:r>
      <w:r w:rsidR="00442599">
        <w:t>.</w:t>
      </w:r>
    </w:p>
    <w:p w14:paraId="47AEED4D" w14:textId="3F2B4D76" w:rsidR="005C199E" w:rsidRDefault="005518B8" w:rsidP="00BA04F1">
      <w:pPr>
        <w:spacing w:line="360" w:lineRule="auto"/>
        <w:jc w:val="both"/>
      </w:pPr>
      <w:r>
        <w:t>Suite à la mise en œuvre des différents dispositifs constitutionnels et des accords intra francophones, le modèle institutionnel belge est</w:t>
      </w:r>
      <w:r w:rsidR="008D389B">
        <w:t xml:space="preserve"> devenu</w:t>
      </w:r>
      <w:r>
        <w:t xml:space="preserve"> totalement asymétrique en termes de compétences et de financement. </w:t>
      </w:r>
      <w:r w:rsidR="008D389B">
        <w:t xml:space="preserve">Cela a pour conséquence qu’il n’est plus possible de comparer une entité fédérée avec une autre tant les compétences et les ressources sont différentes. </w:t>
      </w:r>
      <w:r w:rsidR="00B972D2">
        <w:t>Vu</w:t>
      </w:r>
      <w:r>
        <w:t xml:space="preserve"> le renforcement de certain</w:t>
      </w:r>
      <w:r w:rsidR="00B972D2">
        <w:t>e</w:t>
      </w:r>
      <w:r>
        <w:t>s institutions à Bruxelles, il apparait clairement que le modèle est structuré en 8 entités politiques</w:t>
      </w:r>
      <w:r w:rsidR="008D4F1F">
        <w:rPr>
          <w:rStyle w:val="Appelnotedebasdep"/>
        </w:rPr>
        <w:footnoteReference w:id="132"/>
      </w:r>
      <w:r>
        <w:t xml:space="preserve"> auxquelles il convient d’ajouter la Commission communautaire flamande.</w:t>
      </w:r>
      <w:r w:rsidR="00B972D2">
        <w:t xml:space="preserve"> </w:t>
      </w:r>
      <w:r w:rsidR="008D389B">
        <w:t xml:space="preserve">Cette organisation institutionnelle </w:t>
      </w:r>
      <w:r w:rsidR="00BF72F4">
        <w:t xml:space="preserve">rend </w:t>
      </w:r>
      <w:r w:rsidR="008D389B">
        <w:t xml:space="preserve">la </w:t>
      </w:r>
      <w:r w:rsidR="00747263">
        <w:t>gouvernance de la Belgique p</w:t>
      </w:r>
      <w:r w:rsidR="008D389B">
        <w:t>articulièrement</w:t>
      </w:r>
      <w:r w:rsidR="00BF72F4">
        <w:t xml:space="preserve"> complexe puisque la vision </w:t>
      </w:r>
      <w:r w:rsidR="006273C1">
        <w:t xml:space="preserve">des </w:t>
      </w:r>
      <w:r w:rsidR="00BF72F4">
        <w:t xml:space="preserve">habitants de Flandre, de Wallonie et de Bruxelles repose sur des réalités politiques </w:t>
      </w:r>
      <w:r w:rsidR="008D389B">
        <w:t xml:space="preserve">régionales </w:t>
      </w:r>
      <w:r w:rsidR="00BF72F4">
        <w:t>différentes</w:t>
      </w:r>
      <w:r w:rsidR="008D389B">
        <w:t xml:space="preserve"> ce qui suscite de nombreuses incompréhensions</w:t>
      </w:r>
      <w:r w:rsidR="00BF72F4">
        <w:t xml:space="preserve">. </w:t>
      </w:r>
      <w:r w:rsidR="005C199E">
        <w:t>Par ailleurs, les mécanismes de financement mis en place depuis 1989</w:t>
      </w:r>
      <w:r w:rsidR="006273C1">
        <w:t xml:space="preserve"> (et adaptés au cours des réformes institutionnelles)</w:t>
      </w:r>
      <w:r w:rsidR="005C199E">
        <w:t xml:space="preserve"> placent certaines institutions dans une situation financière compliquée. </w:t>
      </w:r>
      <w:r w:rsidR="005D6B70">
        <w:t>Vu l’absence de pouvoir fiscal et un financement essentiellement basé sur des dotations, l</w:t>
      </w:r>
      <w:r w:rsidR="005C199E">
        <w:t>a Communauté française et les Commissions communautaires à Bruxelles</w:t>
      </w:r>
      <w:r w:rsidR="005D6B70">
        <w:t xml:space="preserve"> sont particulièrement fragilisées. </w:t>
      </w:r>
    </w:p>
    <w:p w14:paraId="1096DDCA" w14:textId="5CFE56AA" w:rsidR="00B972D2" w:rsidRDefault="00BF72F4" w:rsidP="00BA04F1">
      <w:pPr>
        <w:spacing w:line="360" w:lineRule="auto"/>
        <w:jc w:val="both"/>
      </w:pPr>
      <w:r>
        <w:t>La complexité de ce modèle et notamment des institutions bruxelloises fait régulièrement l’objet de critiques et de réactions dans la société civile et le monde politique</w:t>
      </w:r>
      <w:r>
        <w:rPr>
          <w:rStyle w:val="Appelnotedebasdep"/>
        </w:rPr>
        <w:footnoteReference w:id="133"/>
      </w:r>
      <w:r>
        <w:t xml:space="preserve">. </w:t>
      </w:r>
      <w:r w:rsidR="008D389B">
        <w:t xml:space="preserve">Il apparait clairement et souvent pour des raisons de finances publiques et de capacité fiscale que, même pour les compétences communautaires, la référence au territoire (région) s’impose de manière de plus en plus prégnante. </w:t>
      </w:r>
      <w:r>
        <w:t>La prochaine réforme de l’Etat sera, peut-être, l’occasion de repenser la structure fédérale de la Belgique et de son financement</w:t>
      </w:r>
      <w:bookmarkEnd w:id="0"/>
      <w:r w:rsidR="007E46E2">
        <w:t>.</w:t>
      </w:r>
    </w:p>
    <w:sectPr w:rsidR="00B972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C6021" w14:textId="77777777" w:rsidR="00351BB9" w:rsidRDefault="00351BB9" w:rsidP="00062C03">
      <w:r>
        <w:separator/>
      </w:r>
    </w:p>
  </w:endnote>
  <w:endnote w:type="continuationSeparator" w:id="0">
    <w:p w14:paraId="58D1ECD2" w14:textId="77777777" w:rsidR="00351BB9" w:rsidRDefault="00351BB9" w:rsidP="0006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ion">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Optima">
    <w:panose1 w:val="00000000000000000000"/>
    <w:charset w:val="00"/>
    <w:family w:val="auto"/>
    <w:notTrueType/>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708389"/>
      <w:docPartObj>
        <w:docPartGallery w:val="Page Numbers (Bottom of Page)"/>
        <w:docPartUnique/>
      </w:docPartObj>
    </w:sdtPr>
    <w:sdtEndPr/>
    <w:sdtContent>
      <w:p w14:paraId="41DF23DA" w14:textId="419A95A1" w:rsidR="00E418A4" w:rsidRDefault="00E418A4">
        <w:pPr>
          <w:pStyle w:val="Pieddepage"/>
        </w:pPr>
        <w:r>
          <w:rPr>
            <w:noProof/>
          </w:rPr>
          <mc:AlternateContent>
            <mc:Choice Requires="wpg">
              <w:drawing>
                <wp:anchor distT="0" distB="0" distL="114300" distR="114300" simplePos="0" relativeHeight="251659264" behindDoc="0" locked="0" layoutInCell="1" allowOverlap="1" wp14:anchorId="79122ACC" wp14:editId="5B34B742">
                  <wp:simplePos x="0" y="0"/>
                  <wp:positionH relativeFrom="margin">
                    <wp:align>center</wp:align>
                  </wp:positionH>
                  <wp:positionV relativeFrom="page">
                    <wp:align>bottom</wp:align>
                  </wp:positionV>
                  <wp:extent cx="436880" cy="716915"/>
                  <wp:effectExtent l="0" t="0" r="20320" b="2603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4900C9D2" w14:textId="77777777" w:rsidR="00E418A4" w:rsidRPr="000479C8" w:rsidRDefault="00E418A4">
                                <w:pPr>
                                  <w:pStyle w:val="Pieddepage"/>
                                  <w:jc w:val="center"/>
                                  <w:rPr>
                                    <w:color w:val="4472C4" w:themeColor="accent1"/>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22ACC" id="Groupe 1" o:spid="_x0000_s1033"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">
                  <v:shapetype id="_x0000_t32" coordsize="21600,21600" o:spt="32" o:oned="t" path="m,l21600,21600e" filled="f">
                    <v:path arrowok="t" fillok="f" o:connecttype="none"/>
                    <o:lock v:ext="edit" shapetype="t"/>
                  </v:shapetype>
                  <v:shape id="AutoShape 77" o:spid="_x0000_s1034"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35"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" fillcolor="white [3201]" strokecolor="#5b9bd5 [3208]" strokeweight="1pt">
                    <v:textbox>
                      <w:txbxContent>
                        <w:p w14:paraId="4900C9D2" w14:textId="77777777" w:rsidR="00E418A4" w:rsidRPr="000479C8" w:rsidRDefault="00E418A4">
                          <w:pPr>
                            <w:pStyle w:val="Pieddepage"/>
                            <w:jc w:val="center"/>
                            <w:rPr>
                              <w:color w:val="4472C4" w:themeColor="accent1"/>
                              <w:sz w:val="16"/>
                              <w:szCs w:val="16"/>
                            </w:rPr>
                          </w:pPr>
                          <w:r>
                            <w:rPr>
                              <w:sz w:val="22"/>
                              <w:szCs w:val="22"/>
                            </w:rPr>
                            <w:fldChar w:fldCharType="begin"/>
                          </w:r>
                          <w:r>
                            <w:instrText>PAGE    \* MERGEFORMAT</w:instrText>
                          </w:r>
                          <w:r>
                            <w:rPr>
                              <w:sz w:val="22"/>
                              <w:szCs w:val="22"/>
                            </w:rPr>
                            <w:fldChar w:fldCharType="separate"/>
                          </w:r>
                          <w:r>
                            <w:rPr>
                              <w:sz w:val="16"/>
                              <w:szCs w:val="16"/>
                              <w:lang w:val="fr-FR"/>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7E54" w14:textId="77777777" w:rsidR="00351BB9" w:rsidRDefault="00351BB9" w:rsidP="00062C03">
      <w:r>
        <w:separator/>
      </w:r>
    </w:p>
  </w:footnote>
  <w:footnote w:type="continuationSeparator" w:id="0">
    <w:p w14:paraId="2D7714CD" w14:textId="77777777" w:rsidR="00351BB9" w:rsidRDefault="00351BB9" w:rsidP="00062C03">
      <w:r>
        <w:continuationSeparator/>
      </w:r>
    </w:p>
  </w:footnote>
  <w:footnote w:id="1">
    <w:p w14:paraId="5A21E0F5" w14:textId="71C3B86F" w:rsidR="00392843" w:rsidRPr="00392843" w:rsidRDefault="00392843">
      <w:pPr>
        <w:pStyle w:val="Notedebasdepage"/>
        <w:rPr>
          <w:lang w:val="fr-BE"/>
        </w:rPr>
      </w:pPr>
      <w:r>
        <w:rPr>
          <w:rStyle w:val="Appelnotedebasdep"/>
        </w:rPr>
        <w:footnoteRef/>
      </w:r>
      <w:r w:rsidRPr="00804DBF">
        <w:rPr>
          <w:lang w:val="fr-BE"/>
        </w:rPr>
        <w:t xml:space="preserve"> </w:t>
      </w:r>
      <w:r w:rsidR="003E0E8C">
        <w:rPr>
          <w:lang w:val="fr-BE"/>
        </w:rPr>
        <w:t xml:space="preserve">Je remercie M. Bourgeois, Ch. Behrendt, Cl. </w:t>
      </w:r>
      <w:proofErr w:type="spellStart"/>
      <w:r w:rsidR="003E0E8C">
        <w:rPr>
          <w:lang w:val="fr-BE"/>
        </w:rPr>
        <w:t>Melen</w:t>
      </w:r>
      <w:proofErr w:type="spellEnd"/>
      <w:r w:rsidR="003E0E8C">
        <w:rPr>
          <w:lang w:val="fr-BE"/>
        </w:rPr>
        <w:t xml:space="preserve"> et M. Fontaine pour leur relecture et commentaires.</w:t>
      </w:r>
      <w:r>
        <w:rPr>
          <w:lang w:val="fr-BE"/>
        </w:rPr>
        <w:t xml:space="preserve"> </w:t>
      </w:r>
    </w:p>
  </w:footnote>
  <w:footnote w:id="2">
    <w:p w14:paraId="6F58C62C" w14:textId="5974E139" w:rsidR="00981885" w:rsidRPr="00804DBF" w:rsidRDefault="00981885" w:rsidP="00981885">
      <w:pPr>
        <w:jc w:val="both"/>
        <w:rPr>
          <w:lang w:val="nl-BE"/>
        </w:rPr>
      </w:pPr>
      <w:r>
        <w:rPr>
          <w:rStyle w:val="Appelnotedebasdep"/>
        </w:rPr>
        <w:footnoteRef/>
      </w:r>
      <w:r>
        <w:t xml:space="preserve"> </w:t>
      </w:r>
      <w:r w:rsidRPr="00981885">
        <w:rPr>
          <w:color w:val="000000"/>
          <w:sz w:val="20"/>
        </w:rPr>
        <w:t xml:space="preserve">Pour </w:t>
      </w:r>
      <w:r>
        <w:rPr>
          <w:color w:val="000000"/>
          <w:sz w:val="20"/>
        </w:rPr>
        <w:t>une analyse du fédéralisme belge</w:t>
      </w:r>
      <w:r w:rsidRPr="00981885">
        <w:rPr>
          <w:color w:val="000000"/>
          <w:sz w:val="20"/>
        </w:rPr>
        <w:t xml:space="preserve">, </w:t>
      </w:r>
      <w:proofErr w:type="spellStart"/>
      <w:r w:rsidRPr="00981885">
        <w:rPr>
          <w:color w:val="000000"/>
          <w:sz w:val="20"/>
        </w:rPr>
        <w:t>vo</w:t>
      </w:r>
      <w:r w:rsidR="006A4D9B">
        <w:rPr>
          <w:color w:val="000000"/>
          <w:sz w:val="20"/>
        </w:rPr>
        <w:t>y</w:t>
      </w:r>
      <w:proofErr w:type="spellEnd"/>
      <w:r w:rsidR="006A4D9B">
        <w:rPr>
          <w:color w:val="000000"/>
          <w:sz w:val="20"/>
        </w:rPr>
        <w:t>.</w:t>
      </w:r>
      <w:r w:rsidRPr="00981885">
        <w:rPr>
          <w:color w:val="000000"/>
          <w:sz w:val="20"/>
        </w:rPr>
        <w:t xml:space="preserve"> notamment P. </w:t>
      </w:r>
      <w:proofErr w:type="spellStart"/>
      <w:r w:rsidRPr="00981885">
        <w:rPr>
          <w:smallCaps/>
          <w:color w:val="000000"/>
          <w:sz w:val="20"/>
        </w:rPr>
        <w:t>Popelier</w:t>
      </w:r>
      <w:proofErr w:type="spellEnd"/>
      <w:r w:rsidRPr="00981885">
        <w:rPr>
          <w:smallCaps/>
          <w:color w:val="000000"/>
          <w:sz w:val="20"/>
        </w:rPr>
        <w:t xml:space="preserve"> </w:t>
      </w:r>
      <w:r w:rsidRPr="00981885">
        <w:rPr>
          <w:color w:val="000000"/>
          <w:sz w:val="20"/>
        </w:rPr>
        <w:t xml:space="preserve">et K. </w:t>
      </w:r>
      <w:r w:rsidRPr="00981885">
        <w:rPr>
          <w:smallCaps/>
          <w:color w:val="000000"/>
          <w:sz w:val="20"/>
        </w:rPr>
        <w:t xml:space="preserve">Lemmens, </w:t>
      </w:r>
      <w:r w:rsidRPr="00981885">
        <w:rPr>
          <w:i/>
          <w:iCs/>
          <w:color w:val="000000"/>
          <w:sz w:val="20"/>
        </w:rPr>
        <w:t xml:space="preserve">The Constitution of </w:t>
      </w:r>
      <w:proofErr w:type="spellStart"/>
      <w:r w:rsidRPr="00981885">
        <w:rPr>
          <w:i/>
          <w:iCs/>
          <w:color w:val="000000"/>
          <w:sz w:val="20"/>
        </w:rPr>
        <w:t>Belgium</w:t>
      </w:r>
      <w:proofErr w:type="spellEnd"/>
      <w:r w:rsidRPr="00981885">
        <w:rPr>
          <w:i/>
          <w:iCs/>
          <w:color w:val="000000"/>
          <w:sz w:val="20"/>
        </w:rPr>
        <w:t xml:space="preserve">. </w:t>
      </w:r>
      <w:r w:rsidRPr="00804DBF">
        <w:rPr>
          <w:i/>
          <w:iCs/>
          <w:color w:val="000000"/>
          <w:sz w:val="20"/>
          <w:lang w:val="en-US"/>
        </w:rPr>
        <w:t>A Contextual Analysis</w:t>
      </w:r>
      <w:r w:rsidRPr="00804DBF">
        <w:rPr>
          <w:color w:val="000000"/>
          <w:sz w:val="20"/>
          <w:lang w:val="en-US"/>
        </w:rPr>
        <w:t>, Oxford and Portland, Oregon, Hart Publishing, 2015 ; E. W</w:t>
      </w:r>
      <w:r w:rsidRPr="00804DBF">
        <w:rPr>
          <w:smallCaps/>
          <w:color w:val="000000"/>
          <w:sz w:val="20"/>
          <w:lang w:val="en-US"/>
        </w:rPr>
        <w:t xml:space="preserve">itte, J. </w:t>
      </w:r>
      <w:proofErr w:type="spellStart"/>
      <w:r w:rsidRPr="00804DBF">
        <w:rPr>
          <w:smallCaps/>
          <w:color w:val="000000"/>
          <w:sz w:val="20"/>
          <w:lang w:val="en-US"/>
        </w:rPr>
        <w:t>Craeybeckx</w:t>
      </w:r>
      <w:proofErr w:type="spellEnd"/>
      <w:r w:rsidRPr="00804DBF">
        <w:rPr>
          <w:smallCaps/>
          <w:color w:val="000000"/>
          <w:sz w:val="20"/>
          <w:lang w:val="en-US"/>
        </w:rPr>
        <w:t xml:space="preserve"> </w:t>
      </w:r>
      <w:r w:rsidRPr="00804DBF">
        <w:rPr>
          <w:color w:val="000000"/>
          <w:sz w:val="20"/>
          <w:lang w:val="en-US"/>
        </w:rPr>
        <w:t>et A. M</w:t>
      </w:r>
      <w:r w:rsidRPr="00804DBF">
        <w:rPr>
          <w:smallCaps/>
          <w:color w:val="000000"/>
          <w:sz w:val="20"/>
          <w:lang w:val="en-US"/>
        </w:rPr>
        <w:t xml:space="preserve">eynen, </w:t>
      </w:r>
      <w:r w:rsidRPr="00804DBF">
        <w:rPr>
          <w:i/>
          <w:iCs/>
          <w:color w:val="000000"/>
          <w:sz w:val="20"/>
          <w:lang w:val="en-US"/>
        </w:rPr>
        <w:t>Political history of Belgium from 1830 onwards</w:t>
      </w:r>
      <w:r w:rsidRPr="00804DBF">
        <w:rPr>
          <w:color w:val="000000"/>
          <w:sz w:val="20"/>
          <w:lang w:val="en-US"/>
        </w:rPr>
        <w:t xml:space="preserve">, Bruxelles, ASP, 2009 ; G. </w:t>
      </w:r>
      <w:proofErr w:type="spellStart"/>
      <w:r w:rsidRPr="00804DBF">
        <w:rPr>
          <w:color w:val="000000"/>
          <w:sz w:val="20"/>
          <w:lang w:val="en-US"/>
        </w:rPr>
        <w:t>D</w:t>
      </w:r>
      <w:r w:rsidRPr="00804DBF">
        <w:rPr>
          <w:smallCaps/>
          <w:color w:val="000000"/>
          <w:sz w:val="20"/>
          <w:lang w:val="en-US"/>
        </w:rPr>
        <w:t>eneckere</w:t>
      </w:r>
      <w:proofErr w:type="spellEnd"/>
      <w:r w:rsidRPr="00804DBF">
        <w:rPr>
          <w:smallCaps/>
          <w:color w:val="000000"/>
          <w:sz w:val="20"/>
          <w:lang w:val="en-US"/>
        </w:rPr>
        <w:t xml:space="preserve">, B. De </w:t>
      </w:r>
      <w:proofErr w:type="spellStart"/>
      <w:r w:rsidRPr="00804DBF">
        <w:rPr>
          <w:smallCaps/>
          <w:color w:val="000000"/>
          <w:sz w:val="20"/>
          <w:lang w:val="en-US"/>
        </w:rPr>
        <w:t>Wever</w:t>
      </w:r>
      <w:proofErr w:type="spellEnd"/>
      <w:r w:rsidRPr="00804DBF">
        <w:rPr>
          <w:smallCaps/>
          <w:color w:val="000000"/>
          <w:sz w:val="20"/>
          <w:lang w:val="en-US"/>
        </w:rPr>
        <w:t xml:space="preserve">, T. De </w:t>
      </w:r>
      <w:proofErr w:type="spellStart"/>
      <w:r w:rsidRPr="00804DBF">
        <w:rPr>
          <w:smallCaps/>
          <w:color w:val="000000"/>
          <w:sz w:val="20"/>
          <w:lang w:val="en-US"/>
        </w:rPr>
        <w:t>Paepe</w:t>
      </w:r>
      <w:proofErr w:type="spellEnd"/>
      <w:r w:rsidRPr="00804DBF">
        <w:rPr>
          <w:smallCaps/>
          <w:color w:val="000000"/>
          <w:sz w:val="20"/>
          <w:lang w:val="en-US"/>
        </w:rPr>
        <w:t xml:space="preserve">, </w:t>
      </w:r>
      <w:proofErr w:type="spellStart"/>
      <w:r w:rsidRPr="00804DBF">
        <w:rPr>
          <w:i/>
          <w:iCs/>
          <w:color w:val="000000"/>
          <w:sz w:val="20"/>
          <w:lang w:val="en-US"/>
        </w:rPr>
        <w:t>Een</w:t>
      </w:r>
      <w:proofErr w:type="spellEnd"/>
      <w:r w:rsidRPr="00804DBF">
        <w:rPr>
          <w:i/>
          <w:iCs/>
          <w:color w:val="000000"/>
          <w:sz w:val="20"/>
          <w:lang w:val="en-US"/>
        </w:rPr>
        <w:t xml:space="preserve"> </w:t>
      </w:r>
      <w:proofErr w:type="spellStart"/>
      <w:r w:rsidRPr="00804DBF">
        <w:rPr>
          <w:i/>
          <w:iCs/>
          <w:color w:val="000000"/>
          <w:sz w:val="20"/>
          <w:lang w:val="en-US"/>
        </w:rPr>
        <w:t>geschiedenis</w:t>
      </w:r>
      <w:proofErr w:type="spellEnd"/>
      <w:r w:rsidRPr="00804DBF">
        <w:rPr>
          <w:i/>
          <w:iCs/>
          <w:color w:val="000000"/>
          <w:sz w:val="20"/>
          <w:lang w:val="en-US"/>
        </w:rPr>
        <w:t xml:space="preserve"> van </w:t>
      </w:r>
      <w:proofErr w:type="spellStart"/>
      <w:r w:rsidRPr="00804DBF">
        <w:rPr>
          <w:i/>
          <w:iCs/>
          <w:color w:val="000000"/>
          <w:sz w:val="20"/>
          <w:lang w:val="en-US"/>
        </w:rPr>
        <w:t>Belgïe</w:t>
      </w:r>
      <w:proofErr w:type="spellEnd"/>
      <w:r w:rsidRPr="00804DBF">
        <w:rPr>
          <w:color w:val="000000"/>
          <w:sz w:val="20"/>
          <w:lang w:val="en-US"/>
        </w:rPr>
        <w:t xml:space="preserve">, Gent, Academia Press, 2020 ; X. </w:t>
      </w:r>
      <w:proofErr w:type="spellStart"/>
      <w:r w:rsidRPr="00804DBF">
        <w:rPr>
          <w:color w:val="000000"/>
          <w:sz w:val="20"/>
          <w:lang w:val="en-US"/>
        </w:rPr>
        <w:t>M</w:t>
      </w:r>
      <w:r w:rsidRPr="00804DBF">
        <w:rPr>
          <w:smallCaps/>
          <w:color w:val="000000"/>
          <w:sz w:val="20"/>
          <w:lang w:val="en-US"/>
        </w:rPr>
        <w:t>abille</w:t>
      </w:r>
      <w:proofErr w:type="spellEnd"/>
      <w:r w:rsidRPr="00804DBF">
        <w:rPr>
          <w:smallCaps/>
          <w:color w:val="000000"/>
          <w:sz w:val="20"/>
          <w:lang w:val="en-US"/>
        </w:rPr>
        <w:t xml:space="preserve">, </w:t>
      </w:r>
      <w:proofErr w:type="spellStart"/>
      <w:r w:rsidRPr="00804DBF">
        <w:rPr>
          <w:i/>
          <w:iCs/>
          <w:smallCaps/>
          <w:color w:val="000000"/>
          <w:sz w:val="20"/>
          <w:lang w:val="en-US"/>
        </w:rPr>
        <w:t>H</w:t>
      </w:r>
      <w:r w:rsidRPr="00804DBF">
        <w:rPr>
          <w:i/>
          <w:iCs/>
          <w:color w:val="000000"/>
          <w:sz w:val="20"/>
          <w:lang w:val="en-US"/>
        </w:rPr>
        <w:t>istoire</w:t>
      </w:r>
      <w:proofErr w:type="spellEnd"/>
      <w:r w:rsidRPr="00804DBF">
        <w:rPr>
          <w:i/>
          <w:iCs/>
          <w:color w:val="000000"/>
          <w:sz w:val="20"/>
          <w:lang w:val="en-US"/>
        </w:rPr>
        <w:t xml:space="preserve"> politique de la Belgique. </w:t>
      </w:r>
      <w:r w:rsidRPr="00981885">
        <w:rPr>
          <w:i/>
          <w:iCs/>
          <w:color w:val="000000"/>
          <w:sz w:val="20"/>
        </w:rPr>
        <w:t>Facteurs et acteurs de changement</w:t>
      </w:r>
      <w:r w:rsidRPr="00981885">
        <w:rPr>
          <w:color w:val="000000"/>
          <w:sz w:val="20"/>
        </w:rPr>
        <w:t>, 4</w:t>
      </w:r>
      <w:r w:rsidRPr="00981885">
        <w:rPr>
          <w:color w:val="000000"/>
          <w:sz w:val="20"/>
          <w:vertAlign w:val="superscript"/>
        </w:rPr>
        <w:t>ème</w:t>
      </w:r>
      <w:r w:rsidRPr="00981885">
        <w:rPr>
          <w:color w:val="000000"/>
          <w:sz w:val="20"/>
        </w:rPr>
        <w:t xml:space="preserve"> édition, Bruxelles, CRISP, 2000 ; X. </w:t>
      </w:r>
      <w:proofErr w:type="spellStart"/>
      <w:r w:rsidRPr="00981885">
        <w:rPr>
          <w:color w:val="000000"/>
          <w:sz w:val="20"/>
        </w:rPr>
        <w:t>M</w:t>
      </w:r>
      <w:r w:rsidRPr="00981885">
        <w:rPr>
          <w:smallCaps/>
          <w:color w:val="000000"/>
          <w:sz w:val="20"/>
        </w:rPr>
        <w:t>abille</w:t>
      </w:r>
      <w:proofErr w:type="spellEnd"/>
      <w:r w:rsidRPr="00981885">
        <w:rPr>
          <w:smallCaps/>
          <w:color w:val="000000"/>
          <w:sz w:val="20"/>
        </w:rPr>
        <w:t xml:space="preserve">, </w:t>
      </w:r>
      <w:r w:rsidRPr="00981885">
        <w:rPr>
          <w:i/>
          <w:iCs/>
          <w:color w:val="000000"/>
          <w:sz w:val="20"/>
        </w:rPr>
        <w:t>Nouvelle histoire politique de la Belgique</w:t>
      </w:r>
      <w:r w:rsidRPr="00981885">
        <w:rPr>
          <w:color w:val="000000"/>
          <w:sz w:val="20"/>
        </w:rPr>
        <w:t xml:space="preserve">, Bruxelles, CRISP, 2011 ; P. </w:t>
      </w:r>
      <w:proofErr w:type="spellStart"/>
      <w:r w:rsidRPr="00981885">
        <w:rPr>
          <w:color w:val="000000"/>
          <w:sz w:val="20"/>
        </w:rPr>
        <w:t>D</w:t>
      </w:r>
      <w:r w:rsidRPr="00981885">
        <w:rPr>
          <w:smallCaps/>
          <w:color w:val="000000"/>
          <w:sz w:val="20"/>
        </w:rPr>
        <w:t>elwit</w:t>
      </w:r>
      <w:proofErr w:type="spellEnd"/>
      <w:r w:rsidRPr="00981885">
        <w:rPr>
          <w:smallCaps/>
          <w:color w:val="000000"/>
          <w:sz w:val="20"/>
        </w:rPr>
        <w:t xml:space="preserve">, </w:t>
      </w:r>
      <w:r w:rsidRPr="00981885">
        <w:rPr>
          <w:i/>
          <w:iCs/>
          <w:color w:val="000000"/>
          <w:sz w:val="20"/>
        </w:rPr>
        <w:t>La vie politique en Belgique de 1830 à nos jours</w:t>
      </w:r>
      <w:r w:rsidRPr="00981885">
        <w:rPr>
          <w:color w:val="000000"/>
          <w:sz w:val="20"/>
        </w:rPr>
        <w:t>, 3</w:t>
      </w:r>
      <w:r w:rsidRPr="00981885">
        <w:rPr>
          <w:color w:val="000000"/>
          <w:sz w:val="20"/>
          <w:vertAlign w:val="superscript"/>
        </w:rPr>
        <w:t>ème</w:t>
      </w:r>
      <w:r w:rsidRPr="00981885">
        <w:rPr>
          <w:color w:val="000000"/>
          <w:sz w:val="20"/>
        </w:rPr>
        <w:t xml:space="preserve"> édition, Bruxelles, Éditions de l’Université de Bruxelles, 2012 ;</w:t>
      </w:r>
      <w:r w:rsidRPr="00981885">
        <w:rPr>
          <w:i/>
          <w:iCs/>
          <w:color w:val="000000"/>
          <w:sz w:val="20"/>
        </w:rPr>
        <w:t xml:space="preserve"> </w:t>
      </w:r>
      <w:r w:rsidRPr="00981885">
        <w:rPr>
          <w:color w:val="000000"/>
          <w:sz w:val="20"/>
        </w:rPr>
        <w:t>S</w:t>
      </w:r>
      <w:r w:rsidRPr="00981885">
        <w:rPr>
          <w:smallCaps/>
          <w:color w:val="000000"/>
          <w:sz w:val="20"/>
        </w:rPr>
        <w:t xml:space="preserve">. Bracke, A. </w:t>
      </w:r>
      <w:proofErr w:type="spellStart"/>
      <w:r w:rsidRPr="00981885">
        <w:rPr>
          <w:smallCaps/>
          <w:color w:val="000000"/>
          <w:sz w:val="20"/>
        </w:rPr>
        <w:t>Coenen</w:t>
      </w:r>
      <w:proofErr w:type="spellEnd"/>
      <w:r w:rsidRPr="00981885">
        <w:rPr>
          <w:smallCaps/>
          <w:color w:val="000000"/>
          <w:sz w:val="20"/>
        </w:rPr>
        <w:t xml:space="preserve">, A. Gerlache, G. </w:t>
      </w:r>
      <w:proofErr w:type="spellStart"/>
      <w:r w:rsidRPr="00981885">
        <w:rPr>
          <w:smallCaps/>
          <w:color w:val="000000"/>
          <w:sz w:val="20"/>
        </w:rPr>
        <w:t>Goedertier</w:t>
      </w:r>
      <w:proofErr w:type="spellEnd"/>
      <w:r w:rsidRPr="00981885">
        <w:rPr>
          <w:color w:val="000000"/>
          <w:sz w:val="20"/>
        </w:rPr>
        <w:t xml:space="preserve"> M. </w:t>
      </w:r>
      <w:proofErr w:type="spellStart"/>
      <w:r w:rsidRPr="00981885">
        <w:rPr>
          <w:smallCaps/>
          <w:color w:val="000000"/>
          <w:sz w:val="20"/>
        </w:rPr>
        <w:t>Uyttendaele</w:t>
      </w:r>
      <w:proofErr w:type="spellEnd"/>
      <w:r w:rsidRPr="00981885">
        <w:rPr>
          <w:smallCaps/>
          <w:color w:val="000000"/>
          <w:sz w:val="20"/>
        </w:rPr>
        <w:t xml:space="preserve">, J. Vande </w:t>
      </w:r>
      <w:proofErr w:type="spellStart"/>
      <w:r w:rsidRPr="00981885">
        <w:rPr>
          <w:smallCaps/>
          <w:color w:val="000000"/>
          <w:sz w:val="20"/>
        </w:rPr>
        <w:t>Lanotte</w:t>
      </w:r>
      <w:proofErr w:type="spellEnd"/>
      <w:r w:rsidRPr="00981885">
        <w:rPr>
          <w:smallCaps/>
          <w:color w:val="000000"/>
          <w:sz w:val="20"/>
        </w:rPr>
        <w:t xml:space="preserve">, </w:t>
      </w:r>
      <w:r w:rsidRPr="00981885">
        <w:rPr>
          <w:i/>
          <w:iCs/>
          <w:smallCaps/>
          <w:color w:val="000000"/>
          <w:sz w:val="20"/>
        </w:rPr>
        <w:t>L</w:t>
      </w:r>
      <w:r w:rsidRPr="00981885">
        <w:rPr>
          <w:i/>
          <w:iCs/>
          <w:color w:val="000000"/>
          <w:sz w:val="20"/>
        </w:rPr>
        <w:t>a Belgique pour débutants. Le labyrinthe belge : guide pratique</w:t>
      </w:r>
      <w:r w:rsidRPr="00981885">
        <w:rPr>
          <w:color w:val="000000"/>
          <w:sz w:val="20"/>
        </w:rPr>
        <w:t>, 9</w:t>
      </w:r>
      <w:r w:rsidRPr="00981885">
        <w:rPr>
          <w:color w:val="000000"/>
          <w:sz w:val="20"/>
          <w:vertAlign w:val="superscript"/>
        </w:rPr>
        <w:t>ème</w:t>
      </w:r>
      <w:r w:rsidRPr="00981885">
        <w:rPr>
          <w:color w:val="000000"/>
          <w:sz w:val="20"/>
        </w:rPr>
        <w:t xml:space="preserve"> édition, Bruges, la Charte, 2017 ; B. D</w:t>
      </w:r>
      <w:r w:rsidRPr="00981885">
        <w:rPr>
          <w:smallCaps/>
          <w:color w:val="000000"/>
          <w:sz w:val="20"/>
        </w:rPr>
        <w:t xml:space="preserve">alle, D. </w:t>
      </w:r>
      <w:proofErr w:type="spellStart"/>
      <w:r w:rsidRPr="00981885">
        <w:rPr>
          <w:smallCaps/>
          <w:color w:val="000000"/>
          <w:sz w:val="20"/>
        </w:rPr>
        <w:t>Keyaerts</w:t>
      </w:r>
      <w:proofErr w:type="spellEnd"/>
      <w:r w:rsidRPr="00981885">
        <w:rPr>
          <w:smallCaps/>
          <w:color w:val="000000"/>
          <w:sz w:val="20"/>
        </w:rPr>
        <w:t xml:space="preserve">, W. Pas, J. </w:t>
      </w:r>
      <w:proofErr w:type="spellStart"/>
      <w:r w:rsidRPr="00981885">
        <w:rPr>
          <w:smallCaps/>
          <w:color w:val="000000"/>
          <w:sz w:val="20"/>
        </w:rPr>
        <w:t>Theunis</w:t>
      </w:r>
      <w:proofErr w:type="spellEnd"/>
      <w:r w:rsidRPr="00981885">
        <w:rPr>
          <w:smallCaps/>
          <w:color w:val="000000"/>
          <w:sz w:val="20"/>
        </w:rPr>
        <w:t xml:space="preserve">, W. </w:t>
      </w:r>
      <w:proofErr w:type="spellStart"/>
      <w:r w:rsidRPr="00981885">
        <w:rPr>
          <w:smallCaps/>
          <w:color w:val="000000"/>
          <w:sz w:val="20"/>
        </w:rPr>
        <w:t>Verrijdt</w:t>
      </w:r>
      <w:proofErr w:type="spellEnd"/>
      <w:r w:rsidRPr="00981885">
        <w:rPr>
          <w:smallCaps/>
          <w:color w:val="000000"/>
          <w:sz w:val="20"/>
        </w:rPr>
        <w:t xml:space="preserve">, </w:t>
      </w:r>
      <w:proofErr w:type="spellStart"/>
      <w:r w:rsidRPr="00981885">
        <w:rPr>
          <w:i/>
          <w:iCs/>
          <w:smallCaps/>
          <w:color w:val="000000"/>
          <w:sz w:val="20"/>
        </w:rPr>
        <w:t>F</w:t>
      </w:r>
      <w:r w:rsidRPr="00981885">
        <w:rPr>
          <w:i/>
          <w:iCs/>
          <w:color w:val="000000"/>
          <w:sz w:val="20"/>
        </w:rPr>
        <w:t>ederale</w:t>
      </w:r>
      <w:proofErr w:type="spellEnd"/>
      <w:r w:rsidRPr="00981885">
        <w:rPr>
          <w:i/>
          <w:iCs/>
          <w:color w:val="000000"/>
          <w:sz w:val="20"/>
        </w:rPr>
        <w:t xml:space="preserve"> </w:t>
      </w:r>
      <w:proofErr w:type="spellStart"/>
      <w:r w:rsidRPr="00981885">
        <w:rPr>
          <w:i/>
          <w:iCs/>
          <w:color w:val="000000"/>
          <w:sz w:val="20"/>
        </w:rPr>
        <w:t>Staatsstructuur</w:t>
      </w:r>
      <w:proofErr w:type="spellEnd"/>
      <w:r w:rsidRPr="00981885">
        <w:rPr>
          <w:i/>
          <w:iCs/>
          <w:color w:val="000000"/>
          <w:sz w:val="20"/>
        </w:rPr>
        <w:t xml:space="preserve"> : </w:t>
      </w:r>
      <w:proofErr w:type="spellStart"/>
      <w:r w:rsidRPr="00981885">
        <w:rPr>
          <w:i/>
          <w:iCs/>
          <w:color w:val="000000"/>
          <w:sz w:val="20"/>
        </w:rPr>
        <w:t>duiding</w:t>
      </w:r>
      <w:proofErr w:type="spellEnd"/>
      <w:r w:rsidRPr="00981885">
        <w:rPr>
          <w:i/>
          <w:iCs/>
          <w:color w:val="000000"/>
          <w:sz w:val="20"/>
        </w:rPr>
        <w:t xml:space="preserve"> 2018</w:t>
      </w:r>
      <w:r w:rsidRPr="00981885">
        <w:rPr>
          <w:color w:val="000000"/>
          <w:sz w:val="20"/>
        </w:rPr>
        <w:t>, Brussel, Larcier, 2017 ;</w:t>
      </w:r>
      <w:r w:rsidRPr="00981885">
        <w:rPr>
          <w:smallCaps/>
          <w:color w:val="000000"/>
          <w:sz w:val="20"/>
        </w:rPr>
        <w:t xml:space="preserve"> C</w:t>
      </w:r>
      <w:r w:rsidRPr="00981885">
        <w:rPr>
          <w:color w:val="000000"/>
          <w:sz w:val="20"/>
        </w:rPr>
        <w:t xml:space="preserve">. </w:t>
      </w:r>
      <w:proofErr w:type="spellStart"/>
      <w:r w:rsidRPr="00981885">
        <w:rPr>
          <w:color w:val="000000"/>
          <w:sz w:val="20"/>
        </w:rPr>
        <w:t>X</w:t>
      </w:r>
      <w:r w:rsidRPr="00981885">
        <w:rPr>
          <w:smallCaps/>
          <w:color w:val="000000"/>
          <w:sz w:val="20"/>
        </w:rPr>
        <w:t>hardez</w:t>
      </w:r>
      <w:proofErr w:type="spellEnd"/>
      <w:r w:rsidRPr="00981885">
        <w:rPr>
          <w:smallCaps/>
          <w:color w:val="000000"/>
          <w:sz w:val="20"/>
        </w:rPr>
        <w:t xml:space="preserve">, M. Counet, F. </w:t>
      </w:r>
      <w:proofErr w:type="spellStart"/>
      <w:r w:rsidRPr="00981885">
        <w:rPr>
          <w:smallCaps/>
          <w:color w:val="000000"/>
          <w:sz w:val="20"/>
        </w:rPr>
        <w:t>Randour</w:t>
      </w:r>
      <w:proofErr w:type="spellEnd"/>
      <w:r w:rsidRPr="00981885">
        <w:rPr>
          <w:smallCaps/>
          <w:color w:val="000000"/>
          <w:sz w:val="20"/>
        </w:rPr>
        <w:t xml:space="preserve"> </w:t>
      </w:r>
      <w:r w:rsidRPr="00981885">
        <w:rPr>
          <w:color w:val="000000"/>
          <w:sz w:val="20"/>
        </w:rPr>
        <w:t xml:space="preserve">et C. </w:t>
      </w:r>
      <w:proofErr w:type="spellStart"/>
      <w:r w:rsidRPr="00981885">
        <w:rPr>
          <w:color w:val="000000"/>
          <w:sz w:val="20"/>
        </w:rPr>
        <w:t>N</w:t>
      </w:r>
      <w:r w:rsidRPr="00981885">
        <w:rPr>
          <w:smallCaps/>
          <w:color w:val="000000"/>
          <w:sz w:val="20"/>
        </w:rPr>
        <w:t>iessen</w:t>
      </w:r>
      <w:proofErr w:type="spellEnd"/>
      <w:r w:rsidRPr="00981885">
        <w:rPr>
          <w:smallCaps/>
          <w:color w:val="000000"/>
          <w:sz w:val="20"/>
        </w:rPr>
        <w:t xml:space="preserve"> (</w:t>
      </w:r>
      <w:proofErr w:type="spellStart"/>
      <w:r w:rsidRPr="00981885">
        <w:rPr>
          <w:color w:val="000000"/>
          <w:sz w:val="20"/>
        </w:rPr>
        <w:t>dirs</w:t>
      </w:r>
      <w:proofErr w:type="spellEnd"/>
      <w:r w:rsidRPr="00981885">
        <w:rPr>
          <w:color w:val="000000"/>
          <w:sz w:val="20"/>
        </w:rPr>
        <w:t xml:space="preserve">.), </w:t>
      </w:r>
      <w:r w:rsidRPr="00981885">
        <w:rPr>
          <w:i/>
          <w:iCs/>
          <w:color w:val="000000"/>
          <w:sz w:val="20"/>
        </w:rPr>
        <w:t>50 ans de fédéralisation de l’État belge : institutions, acteurs, politiques publiques et particularités du fédéralisme belge</w:t>
      </w:r>
      <w:r w:rsidRPr="00981885">
        <w:rPr>
          <w:color w:val="000000"/>
          <w:sz w:val="20"/>
        </w:rPr>
        <w:t xml:space="preserve">, Louvain-la-Neuve, Academia - </w:t>
      </w:r>
      <w:proofErr w:type="spellStart"/>
      <w:r w:rsidRPr="00981885">
        <w:rPr>
          <w:color w:val="000000"/>
          <w:sz w:val="20"/>
        </w:rPr>
        <w:t>L’Harmattan</w:t>
      </w:r>
      <w:proofErr w:type="spellEnd"/>
      <w:r w:rsidRPr="00981885">
        <w:rPr>
          <w:color w:val="000000"/>
          <w:sz w:val="20"/>
        </w:rPr>
        <w:t xml:space="preserve">, 2020 ;  P. </w:t>
      </w:r>
      <w:proofErr w:type="spellStart"/>
      <w:r w:rsidRPr="00981885">
        <w:rPr>
          <w:color w:val="000000"/>
          <w:sz w:val="20"/>
        </w:rPr>
        <w:t>P</w:t>
      </w:r>
      <w:r w:rsidRPr="00981885">
        <w:rPr>
          <w:smallCaps/>
          <w:color w:val="000000"/>
          <w:sz w:val="20"/>
        </w:rPr>
        <w:t>opelier</w:t>
      </w:r>
      <w:proofErr w:type="spellEnd"/>
      <w:r w:rsidRPr="00981885">
        <w:rPr>
          <w:smallCaps/>
          <w:color w:val="000000"/>
          <w:sz w:val="20"/>
        </w:rPr>
        <w:t xml:space="preserve">, D. </w:t>
      </w:r>
      <w:proofErr w:type="spellStart"/>
      <w:r w:rsidRPr="00981885">
        <w:rPr>
          <w:smallCaps/>
          <w:color w:val="000000"/>
          <w:sz w:val="20"/>
        </w:rPr>
        <w:t>Sinardet</w:t>
      </w:r>
      <w:proofErr w:type="spellEnd"/>
      <w:r w:rsidRPr="00981885">
        <w:rPr>
          <w:smallCaps/>
          <w:color w:val="000000"/>
          <w:sz w:val="20"/>
        </w:rPr>
        <w:t xml:space="preserve">, J. </w:t>
      </w:r>
      <w:proofErr w:type="spellStart"/>
      <w:r w:rsidRPr="00981885">
        <w:rPr>
          <w:smallCaps/>
          <w:color w:val="000000"/>
          <w:sz w:val="20"/>
        </w:rPr>
        <w:t>Velaers</w:t>
      </w:r>
      <w:proofErr w:type="spellEnd"/>
      <w:r w:rsidRPr="00981885">
        <w:rPr>
          <w:smallCaps/>
          <w:color w:val="000000"/>
          <w:sz w:val="20"/>
        </w:rPr>
        <w:t>, B. Cantillon (</w:t>
      </w:r>
      <w:proofErr w:type="spellStart"/>
      <w:r w:rsidRPr="00981885">
        <w:rPr>
          <w:color w:val="000000"/>
          <w:sz w:val="20"/>
        </w:rPr>
        <w:t>eds</w:t>
      </w:r>
      <w:proofErr w:type="spellEnd"/>
      <w:r w:rsidRPr="00981885">
        <w:rPr>
          <w:color w:val="000000"/>
          <w:sz w:val="20"/>
        </w:rPr>
        <w:t xml:space="preserve">.), </w:t>
      </w:r>
      <w:proofErr w:type="spellStart"/>
      <w:r w:rsidRPr="00981885">
        <w:rPr>
          <w:i/>
          <w:iCs/>
          <w:color w:val="000000"/>
          <w:sz w:val="20"/>
        </w:rPr>
        <w:t>Belgïe</w:t>
      </w:r>
      <w:proofErr w:type="spellEnd"/>
      <w:r w:rsidRPr="00981885">
        <w:rPr>
          <w:i/>
          <w:iCs/>
          <w:color w:val="000000"/>
          <w:sz w:val="20"/>
        </w:rPr>
        <w:t xml:space="preserve">, quo </w:t>
      </w:r>
      <w:proofErr w:type="spellStart"/>
      <w:r w:rsidRPr="00981885">
        <w:rPr>
          <w:i/>
          <w:iCs/>
          <w:color w:val="000000"/>
          <w:sz w:val="20"/>
        </w:rPr>
        <w:t>vadis</w:t>
      </w:r>
      <w:proofErr w:type="spellEnd"/>
      <w:r w:rsidRPr="00981885">
        <w:rPr>
          <w:i/>
          <w:iCs/>
          <w:color w:val="000000"/>
          <w:sz w:val="20"/>
        </w:rPr>
        <w:t xml:space="preserve"> ? </w:t>
      </w:r>
      <w:r w:rsidRPr="00804DBF">
        <w:rPr>
          <w:i/>
          <w:iCs/>
          <w:color w:val="000000"/>
          <w:sz w:val="20"/>
          <w:lang w:val="nl-BE"/>
        </w:rPr>
        <w:t>Waarheen na de zesde staatshervorming ?</w:t>
      </w:r>
      <w:r w:rsidRPr="00804DBF">
        <w:rPr>
          <w:color w:val="000000"/>
          <w:sz w:val="20"/>
          <w:lang w:val="nl-BE"/>
        </w:rPr>
        <w:t xml:space="preserve">, </w:t>
      </w:r>
      <w:proofErr w:type="spellStart"/>
      <w:r w:rsidRPr="00804DBF">
        <w:rPr>
          <w:color w:val="000000"/>
          <w:sz w:val="20"/>
          <w:lang w:val="nl-BE"/>
        </w:rPr>
        <w:t>coll</w:t>
      </w:r>
      <w:proofErr w:type="spellEnd"/>
      <w:r w:rsidRPr="00804DBF">
        <w:rPr>
          <w:color w:val="000000"/>
          <w:sz w:val="20"/>
          <w:lang w:val="nl-BE"/>
        </w:rPr>
        <w:t xml:space="preserve">. Forum federalisme, Antwerpen, </w:t>
      </w:r>
      <w:proofErr w:type="spellStart"/>
      <w:r w:rsidRPr="00804DBF">
        <w:rPr>
          <w:color w:val="000000"/>
          <w:sz w:val="20"/>
          <w:lang w:val="nl-BE"/>
        </w:rPr>
        <w:t>Intersentia</w:t>
      </w:r>
      <w:proofErr w:type="spellEnd"/>
      <w:r w:rsidRPr="00804DBF">
        <w:rPr>
          <w:color w:val="000000"/>
          <w:sz w:val="20"/>
          <w:lang w:val="nl-BE"/>
        </w:rPr>
        <w:t xml:space="preserve">, 2012 ; J. </w:t>
      </w:r>
      <w:proofErr w:type="spellStart"/>
      <w:r w:rsidRPr="00804DBF">
        <w:rPr>
          <w:color w:val="000000"/>
          <w:sz w:val="20"/>
          <w:lang w:val="nl-BE"/>
        </w:rPr>
        <w:t>V</w:t>
      </w:r>
      <w:r w:rsidRPr="00804DBF">
        <w:rPr>
          <w:smallCaps/>
          <w:color w:val="000000"/>
          <w:sz w:val="20"/>
          <w:lang w:val="nl-BE"/>
        </w:rPr>
        <w:t>elaers</w:t>
      </w:r>
      <w:proofErr w:type="spellEnd"/>
      <w:r w:rsidRPr="00804DBF">
        <w:rPr>
          <w:smallCaps/>
          <w:color w:val="000000"/>
          <w:sz w:val="20"/>
          <w:lang w:val="nl-BE"/>
        </w:rPr>
        <w:t xml:space="preserve">, J. </w:t>
      </w:r>
      <w:proofErr w:type="spellStart"/>
      <w:r w:rsidRPr="00804DBF">
        <w:rPr>
          <w:smallCaps/>
          <w:color w:val="000000"/>
          <w:sz w:val="20"/>
          <w:lang w:val="nl-BE"/>
        </w:rPr>
        <w:t>Vanpraet</w:t>
      </w:r>
      <w:proofErr w:type="spellEnd"/>
      <w:r w:rsidRPr="00804DBF">
        <w:rPr>
          <w:smallCaps/>
          <w:color w:val="000000"/>
          <w:sz w:val="20"/>
          <w:lang w:val="nl-BE"/>
        </w:rPr>
        <w:t xml:space="preserve">, Y. Peeters, W. </w:t>
      </w:r>
      <w:proofErr w:type="spellStart"/>
      <w:r w:rsidRPr="00804DBF">
        <w:rPr>
          <w:smallCaps/>
          <w:color w:val="000000"/>
          <w:sz w:val="20"/>
          <w:lang w:val="nl-BE"/>
        </w:rPr>
        <w:t>Vandenbruwaene</w:t>
      </w:r>
      <w:proofErr w:type="spellEnd"/>
      <w:r w:rsidRPr="00804DBF">
        <w:rPr>
          <w:smallCaps/>
          <w:color w:val="000000"/>
          <w:sz w:val="20"/>
          <w:lang w:val="nl-BE"/>
        </w:rPr>
        <w:t xml:space="preserve"> </w:t>
      </w:r>
      <w:r w:rsidRPr="00804DBF">
        <w:rPr>
          <w:color w:val="000000"/>
          <w:sz w:val="20"/>
          <w:lang w:val="nl-BE"/>
        </w:rPr>
        <w:t>(</w:t>
      </w:r>
      <w:proofErr w:type="spellStart"/>
      <w:r w:rsidRPr="00804DBF">
        <w:rPr>
          <w:color w:val="000000"/>
          <w:sz w:val="20"/>
          <w:lang w:val="nl-BE"/>
        </w:rPr>
        <w:t>eds</w:t>
      </w:r>
      <w:proofErr w:type="spellEnd"/>
      <w:r w:rsidRPr="00804DBF">
        <w:rPr>
          <w:color w:val="000000"/>
          <w:sz w:val="20"/>
          <w:lang w:val="nl-BE"/>
        </w:rPr>
        <w:t xml:space="preserve">.), </w:t>
      </w:r>
      <w:r w:rsidRPr="00804DBF">
        <w:rPr>
          <w:i/>
          <w:iCs/>
          <w:color w:val="000000"/>
          <w:sz w:val="20"/>
          <w:lang w:val="nl-BE"/>
        </w:rPr>
        <w:t>De zesde staatshervorming : instellingen, bevoegdheden en middelen</w:t>
      </w:r>
      <w:r w:rsidRPr="00804DBF">
        <w:rPr>
          <w:color w:val="000000"/>
          <w:sz w:val="20"/>
          <w:lang w:val="nl-BE"/>
        </w:rPr>
        <w:t xml:space="preserve">, </w:t>
      </w:r>
      <w:proofErr w:type="spellStart"/>
      <w:r w:rsidRPr="00804DBF">
        <w:rPr>
          <w:color w:val="000000"/>
          <w:sz w:val="20"/>
          <w:lang w:val="nl-BE"/>
        </w:rPr>
        <w:t>coll</w:t>
      </w:r>
      <w:proofErr w:type="spellEnd"/>
      <w:r w:rsidRPr="00804DBF">
        <w:rPr>
          <w:color w:val="000000"/>
          <w:sz w:val="20"/>
          <w:lang w:val="nl-BE"/>
        </w:rPr>
        <w:t xml:space="preserve">. Forum federalisme, Antwerpen, </w:t>
      </w:r>
      <w:proofErr w:type="spellStart"/>
      <w:r w:rsidRPr="00804DBF">
        <w:rPr>
          <w:color w:val="000000"/>
          <w:sz w:val="20"/>
          <w:lang w:val="nl-BE"/>
        </w:rPr>
        <w:t>Intersentia</w:t>
      </w:r>
      <w:proofErr w:type="spellEnd"/>
      <w:r w:rsidRPr="00804DBF">
        <w:rPr>
          <w:color w:val="000000"/>
          <w:sz w:val="20"/>
          <w:lang w:val="nl-BE"/>
        </w:rPr>
        <w:t>, 2014 ; A. A</w:t>
      </w:r>
      <w:r w:rsidRPr="00804DBF">
        <w:rPr>
          <w:smallCaps/>
          <w:color w:val="000000"/>
          <w:sz w:val="20"/>
          <w:lang w:val="nl-BE"/>
        </w:rPr>
        <w:t xml:space="preserve">len, B. </w:t>
      </w:r>
      <w:proofErr w:type="spellStart"/>
      <w:r w:rsidRPr="00804DBF">
        <w:rPr>
          <w:smallCaps/>
          <w:color w:val="000000"/>
          <w:sz w:val="20"/>
          <w:lang w:val="nl-BE"/>
        </w:rPr>
        <w:t>Dalle</w:t>
      </w:r>
      <w:proofErr w:type="spellEnd"/>
      <w:r w:rsidRPr="00804DBF">
        <w:rPr>
          <w:smallCaps/>
          <w:color w:val="000000"/>
          <w:sz w:val="20"/>
          <w:lang w:val="nl-BE"/>
        </w:rPr>
        <w:t xml:space="preserve">, K. </w:t>
      </w:r>
      <w:proofErr w:type="spellStart"/>
      <w:r w:rsidRPr="00804DBF">
        <w:rPr>
          <w:smallCaps/>
          <w:color w:val="000000"/>
          <w:sz w:val="20"/>
          <w:lang w:val="nl-BE"/>
        </w:rPr>
        <w:t>Muylle</w:t>
      </w:r>
      <w:proofErr w:type="spellEnd"/>
      <w:r w:rsidRPr="00804DBF">
        <w:rPr>
          <w:smallCaps/>
          <w:color w:val="000000"/>
          <w:sz w:val="20"/>
          <w:lang w:val="nl-BE"/>
        </w:rPr>
        <w:t>, W. Pas, J. Van Nieuwenhove, W. Verrijdt (</w:t>
      </w:r>
      <w:proofErr w:type="spellStart"/>
      <w:r w:rsidRPr="00804DBF">
        <w:rPr>
          <w:color w:val="000000"/>
          <w:sz w:val="20"/>
          <w:lang w:val="nl-BE"/>
        </w:rPr>
        <w:t>eds</w:t>
      </w:r>
      <w:proofErr w:type="spellEnd"/>
      <w:r w:rsidRPr="00804DBF">
        <w:rPr>
          <w:color w:val="000000"/>
          <w:sz w:val="20"/>
          <w:lang w:val="nl-BE"/>
        </w:rPr>
        <w:t xml:space="preserve">.), </w:t>
      </w:r>
      <w:r w:rsidRPr="00804DBF">
        <w:rPr>
          <w:i/>
          <w:iCs/>
          <w:color w:val="000000"/>
          <w:sz w:val="20"/>
          <w:lang w:val="nl-BE"/>
        </w:rPr>
        <w:t xml:space="preserve">Het federale </w:t>
      </w:r>
      <w:proofErr w:type="spellStart"/>
      <w:r w:rsidRPr="00804DBF">
        <w:rPr>
          <w:i/>
          <w:iCs/>
          <w:color w:val="000000"/>
          <w:sz w:val="20"/>
          <w:lang w:val="nl-BE"/>
        </w:rPr>
        <w:t>Belgïe</w:t>
      </w:r>
      <w:proofErr w:type="spellEnd"/>
      <w:r w:rsidRPr="00804DBF">
        <w:rPr>
          <w:i/>
          <w:iCs/>
          <w:color w:val="000000"/>
          <w:sz w:val="20"/>
          <w:lang w:val="nl-BE"/>
        </w:rPr>
        <w:t xml:space="preserve"> na de Zesde Staatshervorming</w:t>
      </w:r>
      <w:r w:rsidRPr="00804DBF">
        <w:rPr>
          <w:color w:val="000000"/>
          <w:sz w:val="20"/>
          <w:lang w:val="nl-BE"/>
        </w:rPr>
        <w:t xml:space="preserve">, Brugge, die </w:t>
      </w:r>
      <w:proofErr w:type="spellStart"/>
      <w:r w:rsidRPr="00804DBF">
        <w:rPr>
          <w:color w:val="000000"/>
          <w:sz w:val="20"/>
          <w:lang w:val="nl-BE"/>
        </w:rPr>
        <w:t>Keure</w:t>
      </w:r>
      <w:proofErr w:type="spellEnd"/>
      <w:r w:rsidRPr="00804DBF">
        <w:rPr>
          <w:color w:val="000000"/>
          <w:sz w:val="20"/>
          <w:lang w:val="nl-BE"/>
        </w:rPr>
        <w:t>, 2014.</w:t>
      </w:r>
    </w:p>
  </w:footnote>
  <w:footnote w:id="3">
    <w:p w14:paraId="1BF3724F" w14:textId="77777777" w:rsidR="00A72528" w:rsidRPr="00C32F28" w:rsidRDefault="00A72528" w:rsidP="00A72528">
      <w:pPr>
        <w:pStyle w:val="Notedebasdepage"/>
        <w:rPr>
          <w:lang w:val="fr-BE"/>
        </w:rPr>
      </w:pPr>
      <w:r w:rsidRPr="00C32F28">
        <w:rPr>
          <w:rStyle w:val="Appelnotedebasdep"/>
        </w:rPr>
        <w:footnoteRef/>
      </w:r>
      <w:r w:rsidRPr="00C32F28">
        <w:rPr>
          <w:lang w:val="fr-BE"/>
        </w:rPr>
        <w:t>Pour une analyse</w:t>
      </w:r>
      <w:r>
        <w:rPr>
          <w:lang w:val="fr-BE"/>
        </w:rPr>
        <w:t xml:space="preserve"> du financement de la Belgique fédérale</w:t>
      </w:r>
      <w:r w:rsidRPr="00C32F28">
        <w:rPr>
          <w:lang w:val="fr-BE"/>
        </w:rPr>
        <w:t xml:space="preserve">, </w:t>
      </w:r>
      <w:proofErr w:type="spellStart"/>
      <w:r w:rsidRPr="00C32F28">
        <w:rPr>
          <w:lang w:val="fr-BE"/>
        </w:rPr>
        <w:t>v</w:t>
      </w:r>
      <w:r>
        <w:rPr>
          <w:lang w:val="fr-BE"/>
        </w:rPr>
        <w:t>oy</w:t>
      </w:r>
      <w:proofErr w:type="spellEnd"/>
      <w:r>
        <w:rPr>
          <w:lang w:val="fr-BE"/>
        </w:rPr>
        <w:t>.</w:t>
      </w:r>
      <w:r w:rsidRPr="00C32F28">
        <w:rPr>
          <w:lang w:val="fr-BE"/>
        </w:rPr>
        <w:t xml:space="preserve"> notamment B. BAYENET, M. FERON, V. GILBERT et F. THYS-CLEMENT, </w:t>
      </w:r>
      <w:r w:rsidRPr="00C32F28">
        <w:rPr>
          <w:i/>
          <w:lang w:val="fr-BE"/>
        </w:rPr>
        <w:t>Le fédéralisme budgétaire en Belgique, mode d’emploi</w:t>
      </w:r>
      <w:r w:rsidRPr="00C32F28">
        <w:rPr>
          <w:lang w:val="fr-BE"/>
        </w:rPr>
        <w:t xml:space="preserve">, Bruxelles, Editions de l’Université de Bruxelles, 2000; B. BAYENET et G. PAGANO, </w:t>
      </w:r>
      <w:r w:rsidRPr="00C32F28">
        <w:rPr>
          <w:i/>
          <w:lang w:val="fr-BE"/>
        </w:rPr>
        <w:t>Le financement des entités fédérées : un système en voie de transformation</w:t>
      </w:r>
      <w:r w:rsidRPr="00C32F28">
        <w:rPr>
          <w:lang w:val="fr-BE"/>
        </w:rPr>
        <w:t xml:space="preserve">, Bruxelles, Edition du CRISP, 2011, Bayenet B., Capron H. et Liégeois Ph. (Ed), </w:t>
      </w:r>
      <w:r w:rsidRPr="00C32F28">
        <w:rPr>
          <w:i/>
          <w:lang w:val="fr-BE"/>
        </w:rPr>
        <w:t>L’Espace Wallonie-Bruxelles, Voyage au bout de la Belgique</w:t>
      </w:r>
      <w:r w:rsidRPr="00C32F28">
        <w:rPr>
          <w:lang w:val="fr-BE"/>
        </w:rPr>
        <w:t xml:space="preserve">, Coll. Economie, Société, Région, De Boeck, 2007 ; B. BAYENET, M. BOURGEOIS et D. </w:t>
      </w:r>
      <w:r>
        <w:rPr>
          <w:lang w:val="fr-BE"/>
        </w:rPr>
        <w:t>DARTE</w:t>
      </w:r>
      <w:r w:rsidRPr="00C32F28">
        <w:rPr>
          <w:lang w:val="fr-BE"/>
        </w:rPr>
        <w:t xml:space="preserve">, </w:t>
      </w:r>
      <w:r w:rsidRPr="00C32F28">
        <w:rPr>
          <w:i/>
          <w:iCs/>
          <w:lang w:val="fr-BE"/>
        </w:rPr>
        <w:t>Les finances et l’autonomie fiscale des entités fédérées après la sixième réforme de l’Etat</w:t>
      </w:r>
      <w:r w:rsidRPr="00C32F28">
        <w:rPr>
          <w:lang w:val="fr-BE"/>
        </w:rPr>
        <w:t>, Larcier, 2017</w:t>
      </w:r>
      <w:r>
        <w:rPr>
          <w:lang w:val="fr-BE"/>
        </w:rPr>
        <w:t xml:space="preserve"> ; </w:t>
      </w:r>
      <w:r w:rsidRPr="00C32F28">
        <w:rPr>
          <w:i/>
          <w:iCs/>
          <w:lang w:val="fr-BE"/>
        </w:rPr>
        <w:t>A l’enseigne de la nouvelle Belgique</w:t>
      </w:r>
      <w:r w:rsidRPr="00C32F28">
        <w:rPr>
          <w:lang w:val="fr-BE"/>
        </w:rPr>
        <w:t xml:space="preserve"> (</w:t>
      </w:r>
      <w:proofErr w:type="spellStart"/>
      <w:r>
        <w:rPr>
          <w:lang w:val="fr-BE"/>
        </w:rPr>
        <w:t>dir</w:t>
      </w:r>
      <w:proofErr w:type="spellEnd"/>
      <w:r>
        <w:rPr>
          <w:lang w:val="fr-BE"/>
        </w:rPr>
        <w:t>.</w:t>
      </w:r>
      <w:r w:rsidRPr="00C32F28">
        <w:rPr>
          <w:lang w:val="fr-BE"/>
        </w:rPr>
        <w:t xml:space="preserve"> par M. UYTTENDAELE), Editions de l’Université de Bruxelles, 1989.</w:t>
      </w:r>
    </w:p>
  </w:footnote>
  <w:footnote w:id="4">
    <w:p w14:paraId="0FF455B8" w14:textId="118B0F81" w:rsidR="002F5F65" w:rsidRPr="00C32F28" w:rsidRDefault="002F5F65" w:rsidP="002F5F65">
      <w:pPr>
        <w:pStyle w:val="Notedebasdepage"/>
        <w:rPr>
          <w:lang w:val="fr-BE"/>
        </w:rPr>
      </w:pPr>
      <w:r w:rsidRPr="00C32F28">
        <w:rPr>
          <w:rStyle w:val="Appelnotedebasdep"/>
        </w:rPr>
        <w:footnoteRef/>
      </w:r>
      <w:r w:rsidRPr="00C071C2">
        <w:rPr>
          <w:lang w:val="fr-BE"/>
        </w:rPr>
        <w:t xml:space="preserve"> </w:t>
      </w:r>
      <w:r w:rsidRPr="00C32F28">
        <w:rPr>
          <w:lang w:val="fr-BE"/>
        </w:rPr>
        <w:t>La réforme de 1970 est le résultat des travaux réalisés dans le cadre du groupe de travail pour les problèmes communautaires constitué en 1969, groupe qui tenait compte des travaux entrepris au sein du Centre Harmel (1948-1953), du groupe de travail politique (1963) et de la Conférence de la Table ronde (1964-1965) et de la Commission Meyers-</w:t>
      </w:r>
      <w:proofErr w:type="spellStart"/>
      <w:r w:rsidRPr="00C32F28">
        <w:rPr>
          <w:lang w:val="fr-BE"/>
        </w:rPr>
        <w:t>Vanderpoorten</w:t>
      </w:r>
      <w:proofErr w:type="spellEnd"/>
      <w:r w:rsidRPr="00C32F28">
        <w:rPr>
          <w:lang w:val="fr-BE"/>
        </w:rPr>
        <w:t xml:space="preserve"> (1966-1968). Courrier hebdomadaire du CRISP, </w:t>
      </w:r>
      <w:r w:rsidRPr="00C32F28">
        <w:rPr>
          <w:i/>
          <w:iCs/>
          <w:lang w:val="fr-BE"/>
        </w:rPr>
        <w:t>Bruxelles et la réforme des institutions,</w:t>
      </w:r>
      <w:r w:rsidRPr="00C32F28">
        <w:rPr>
          <w:lang w:val="fr-BE"/>
        </w:rPr>
        <w:t xml:space="preserve"> n°613, 1973.</w:t>
      </w:r>
    </w:p>
  </w:footnote>
  <w:footnote w:id="5">
    <w:p w14:paraId="6B0305FF" w14:textId="6EA1D2EA" w:rsidR="00D75A4F" w:rsidRPr="00C32F28" w:rsidRDefault="00D75A4F" w:rsidP="00D75A4F">
      <w:pPr>
        <w:rPr>
          <w:color w:val="323232"/>
          <w:sz w:val="20"/>
          <w:lang w:eastAsia="fr-BE"/>
        </w:rPr>
      </w:pPr>
      <w:r w:rsidRPr="00C071C2">
        <w:rPr>
          <w:rStyle w:val="Appelnotedebasdep"/>
          <w:sz w:val="20"/>
        </w:rPr>
        <w:footnoteRef/>
      </w:r>
      <w:r w:rsidRPr="00C071C2">
        <w:rPr>
          <w:sz w:val="20"/>
        </w:rPr>
        <w:t xml:space="preserve"> </w:t>
      </w:r>
      <w:r w:rsidRPr="00C32F28">
        <w:rPr>
          <w:color w:val="323232"/>
          <w:sz w:val="20"/>
          <w:lang w:eastAsia="fr-BE"/>
        </w:rPr>
        <w:t xml:space="preserve">M. UYTTENDAELE, </w:t>
      </w:r>
      <w:r w:rsidRPr="00C32F28">
        <w:rPr>
          <w:i/>
          <w:iCs/>
          <w:color w:val="323232"/>
          <w:sz w:val="20"/>
          <w:lang w:eastAsia="fr-BE"/>
        </w:rPr>
        <w:t>Trente leçons de droit constitutionnel</w:t>
      </w:r>
      <w:r w:rsidRPr="00C32F28">
        <w:rPr>
          <w:color w:val="323232"/>
          <w:sz w:val="20"/>
          <w:lang w:eastAsia="fr-BE"/>
        </w:rPr>
        <w:t>, Bruylant, 2017.</w:t>
      </w:r>
    </w:p>
  </w:footnote>
  <w:footnote w:id="6">
    <w:p w14:paraId="34AF9DAB" w14:textId="4DC9CE9E" w:rsidR="00016478" w:rsidRPr="00016478" w:rsidRDefault="00016478">
      <w:pPr>
        <w:pStyle w:val="Notedebasdepage"/>
        <w:rPr>
          <w:lang w:val="fr-BE"/>
        </w:rPr>
      </w:pPr>
      <w:r>
        <w:rPr>
          <w:rStyle w:val="Appelnotedebasdep"/>
        </w:rPr>
        <w:footnoteRef/>
      </w:r>
      <w:r w:rsidRPr="00804DBF">
        <w:rPr>
          <w:lang w:val="fr-BE"/>
        </w:rPr>
        <w:t xml:space="preserve"> </w:t>
      </w:r>
      <w:r>
        <w:rPr>
          <w:lang w:val="fr-BE"/>
        </w:rPr>
        <w:t xml:space="preserve">Cette distinction terminologique apparaît dans les travaux préparatoires de la loi spéciale de réforme institutionnelle, Doc. </w:t>
      </w:r>
      <w:proofErr w:type="spellStart"/>
      <w:r>
        <w:rPr>
          <w:lang w:val="fr-BE"/>
        </w:rPr>
        <w:t>Parl</w:t>
      </w:r>
      <w:proofErr w:type="spellEnd"/>
      <w:r>
        <w:rPr>
          <w:lang w:val="fr-BE"/>
        </w:rPr>
        <w:t xml:space="preserve">. Sénat, session ordinaire 1979-1980, n°434/1, pp 3 et 9, Ch. BEHRENDT et M. VRANCKEN, </w:t>
      </w:r>
      <w:r w:rsidRPr="00E418A4">
        <w:rPr>
          <w:i/>
          <w:iCs/>
          <w:lang w:val="fr-BE"/>
        </w:rPr>
        <w:t>Principes de droit constitutionnel belge</w:t>
      </w:r>
      <w:r>
        <w:rPr>
          <w:lang w:val="fr-BE"/>
        </w:rPr>
        <w:t>, 2</w:t>
      </w:r>
      <w:r w:rsidRPr="00016478">
        <w:rPr>
          <w:vertAlign w:val="superscript"/>
          <w:lang w:val="fr-BE"/>
        </w:rPr>
        <w:t>ème</w:t>
      </w:r>
      <w:r>
        <w:rPr>
          <w:lang w:val="fr-BE"/>
        </w:rPr>
        <w:t xml:space="preserve"> Edition, </w:t>
      </w:r>
      <w:r w:rsidR="00E418A4">
        <w:rPr>
          <w:lang w:val="fr-BE"/>
        </w:rPr>
        <w:t>La Charte, 2021.</w:t>
      </w:r>
    </w:p>
  </w:footnote>
  <w:footnote w:id="7">
    <w:p w14:paraId="68C6C26D" w14:textId="30E1807D" w:rsidR="009167CC" w:rsidRPr="00C32F28" w:rsidRDefault="009167CC">
      <w:pPr>
        <w:pStyle w:val="Notedebasdepage"/>
        <w:rPr>
          <w:lang w:val="fr-FR"/>
        </w:rPr>
      </w:pPr>
      <w:r w:rsidRPr="00C32F28">
        <w:rPr>
          <w:rStyle w:val="Appelnotedebasdep"/>
        </w:rPr>
        <w:footnoteRef/>
      </w:r>
      <w:r w:rsidRPr="00C071C2">
        <w:rPr>
          <w:lang w:val="fr-BE"/>
        </w:rPr>
        <w:t xml:space="preserve"> </w:t>
      </w:r>
      <w:r w:rsidRPr="00C32F28">
        <w:rPr>
          <w:lang w:val="fr-FR"/>
        </w:rPr>
        <w:t>Les données 2020 et 2021 sont fortement impactées par la crise covid et ses cons</w:t>
      </w:r>
      <w:r w:rsidR="0072256E" w:rsidRPr="00C32F28">
        <w:rPr>
          <w:lang w:val="fr-FR"/>
        </w:rPr>
        <w:t>éq</w:t>
      </w:r>
      <w:r w:rsidRPr="00C32F28">
        <w:rPr>
          <w:lang w:val="fr-FR"/>
        </w:rPr>
        <w:t xml:space="preserve">uences sur les finances publiques. Pour donner une image plus </w:t>
      </w:r>
      <w:r w:rsidR="0072256E" w:rsidRPr="00C32F28">
        <w:rPr>
          <w:lang w:val="fr-FR"/>
        </w:rPr>
        <w:t>neutre</w:t>
      </w:r>
      <w:r w:rsidRPr="00C32F28">
        <w:rPr>
          <w:lang w:val="fr-FR"/>
        </w:rPr>
        <w:t>, nous avons privilégié l’année 2019.</w:t>
      </w:r>
    </w:p>
  </w:footnote>
  <w:footnote w:id="8">
    <w:p w14:paraId="64420FD4" w14:textId="7DF0A0BE" w:rsidR="00213806" w:rsidRPr="00C32F28" w:rsidRDefault="00213806">
      <w:pPr>
        <w:pStyle w:val="Notedebasdepage"/>
        <w:rPr>
          <w:lang w:val="fr-BE"/>
        </w:rPr>
      </w:pPr>
      <w:r w:rsidRPr="00C32F28">
        <w:rPr>
          <w:rStyle w:val="Appelnotedebasdep"/>
        </w:rPr>
        <w:footnoteRef/>
      </w:r>
      <w:r w:rsidRPr="00C071C2">
        <w:rPr>
          <w:lang w:val="fr-BE"/>
        </w:rPr>
        <w:t xml:space="preserve"> </w:t>
      </w:r>
      <w:r w:rsidRPr="00C32F28">
        <w:rPr>
          <w:lang w:val="fr-BE"/>
        </w:rPr>
        <w:t xml:space="preserve">Pour obtenir le total, il faut tenir compte des corrections intersectorielles (-16 496 milliards). </w:t>
      </w:r>
      <w:r w:rsidRPr="00C32F28">
        <w:rPr>
          <w:shd w:val="clear" w:color="auto" w:fill="FFFFFF"/>
          <w:lang w:val="fr-BE"/>
        </w:rPr>
        <w:t>Correspond aux actifs financiers des différents sous-secteurs dont la contrepartie est une dette d'un autre sous-secteur des administrations publiques. La dette brute consolidée d'un sous-secteur diminuée des actifs financiers qu'il détient sur les autres sous-secteurs détermine la contribution de ce sous-secteur à la dette brute consolidée de l'ensemble des administrations publiques.</w:t>
      </w:r>
    </w:p>
  </w:footnote>
  <w:footnote w:id="9">
    <w:p w14:paraId="2CCD3479" w14:textId="71C293F9" w:rsidR="00213806" w:rsidRPr="00C32F28" w:rsidRDefault="00213806">
      <w:pPr>
        <w:pStyle w:val="Notedebasdepage"/>
        <w:rPr>
          <w:lang w:val="fr-BE"/>
        </w:rPr>
      </w:pPr>
      <w:r w:rsidRPr="00C32F28">
        <w:rPr>
          <w:rStyle w:val="Appelnotedebasdep"/>
        </w:rPr>
        <w:footnoteRef/>
      </w:r>
      <w:r w:rsidRPr="00C071C2">
        <w:rPr>
          <w:lang w:val="fr-BE"/>
        </w:rPr>
        <w:t xml:space="preserve"> </w:t>
      </w:r>
      <w:r w:rsidRPr="00C32F28">
        <w:rPr>
          <w:lang w:val="fr-BE"/>
        </w:rPr>
        <w:t>Pour obtenir le total, il faut tenir compte de unités interrégionales (5</w:t>
      </w:r>
      <w:r w:rsidR="00016478">
        <w:rPr>
          <w:lang w:val="fr-BE"/>
        </w:rPr>
        <w:t xml:space="preserve"> </w:t>
      </w:r>
      <w:r w:rsidRPr="00C32F28">
        <w:rPr>
          <w:lang w:val="fr-BE"/>
        </w:rPr>
        <w:t xml:space="preserve">181 milliards) et </w:t>
      </w:r>
      <w:r w:rsidR="008D42C2" w:rsidRPr="00C32F28">
        <w:rPr>
          <w:lang w:val="fr-BE"/>
        </w:rPr>
        <w:t>des consolidations entre entités fédérées (- 1</w:t>
      </w:r>
      <w:r w:rsidR="00016478">
        <w:rPr>
          <w:lang w:val="fr-BE"/>
        </w:rPr>
        <w:t xml:space="preserve"> </w:t>
      </w:r>
      <w:r w:rsidR="008D42C2" w:rsidRPr="00C32F28">
        <w:rPr>
          <w:lang w:val="fr-BE"/>
        </w:rPr>
        <w:t xml:space="preserve">099 milliards). Ces dernières </w:t>
      </w:r>
      <w:r w:rsidR="008D42C2" w:rsidRPr="00C32F28">
        <w:rPr>
          <w:shd w:val="clear" w:color="auto" w:fill="FFFFFF"/>
          <w:lang w:val="fr-BE"/>
        </w:rPr>
        <w:t xml:space="preserve">correspondent aux actifs financiers d'une entité dont la contrepartie est une dette d'une autre </w:t>
      </w:r>
      <w:r w:rsidR="00946F4E" w:rsidRPr="00C32F28">
        <w:rPr>
          <w:shd w:val="clear" w:color="auto" w:fill="FFFFFF"/>
          <w:lang w:val="fr-BE"/>
        </w:rPr>
        <w:t>C</w:t>
      </w:r>
      <w:r w:rsidR="008D42C2" w:rsidRPr="00C32F28">
        <w:rPr>
          <w:shd w:val="clear" w:color="auto" w:fill="FFFFFF"/>
          <w:lang w:val="fr-BE"/>
        </w:rPr>
        <w:t xml:space="preserve">ommunauté ou </w:t>
      </w:r>
      <w:r w:rsidR="00946F4E" w:rsidRPr="00C32F28">
        <w:rPr>
          <w:shd w:val="clear" w:color="auto" w:fill="FFFFFF"/>
          <w:lang w:val="fr-BE"/>
        </w:rPr>
        <w:t>R</w:t>
      </w:r>
      <w:r w:rsidR="008D42C2" w:rsidRPr="00C32F28">
        <w:rPr>
          <w:shd w:val="clear" w:color="auto" w:fill="FFFFFF"/>
          <w:lang w:val="fr-BE"/>
        </w:rPr>
        <w:t>égion.</w:t>
      </w:r>
    </w:p>
  </w:footnote>
  <w:footnote w:id="10">
    <w:p w14:paraId="6C57286C" w14:textId="53D9D551" w:rsidR="0072256E" w:rsidRPr="00C32F28" w:rsidRDefault="0072256E">
      <w:pPr>
        <w:pStyle w:val="Notedebasdepage"/>
        <w:rPr>
          <w:lang w:val="fr-BE"/>
        </w:rPr>
      </w:pPr>
      <w:r w:rsidRPr="00C32F28">
        <w:rPr>
          <w:rStyle w:val="Appelnotedebasdep"/>
        </w:rPr>
        <w:footnoteRef/>
      </w:r>
      <w:r w:rsidRPr="00C071C2">
        <w:rPr>
          <w:lang w:val="fr-BE"/>
        </w:rPr>
        <w:t xml:space="preserve"> </w:t>
      </w:r>
      <w:r w:rsidRPr="00C32F28">
        <w:rPr>
          <w:lang w:val="fr-BE"/>
        </w:rPr>
        <w:t>Exprimés en millions et non en pourcentage du PIB vu le niveau des recettes et des dépenses.</w:t>
      </w:r>
    </w:p>
  </w:footnote>
  <w:footnote w:id="11">
    <w:p w14:paraId="2BBDD409" w14:textId="77777777" w:rsidR="00C071C2" w:rsidRPr="00C32F28" w:rsidRDefault="00C071C2" w:rsidP="00C071C2">
      <w:pPr>
        <w:pStyle w:val="Notedebasdepage"/>
        <w:rPr>
          <w:lang w:val="fr-BE"/>
        </w:rPr>
      </w:pPr>
      <w:r w:rsidRPr="00C32F28">
        <w:rPr>
          <w:rStyle w:val="Appelnotedebasdep"/>
          <w:lang w:val="fr-BE"/>
        </w:rPr>
        <w:footnoteRef/>
      </w:r>
      <w:r w:rsidRPr="00C32F28">
        <w:rPr>
          <w:lang w:val="fr-BE"/>
        </w:rPr>
        <w:t xml:space="preserve">À savoir la défense et l’illustration de la langue, les Beaux-Arts, le soutien à la presse écrite, la formation artistique, le patrimoine culturel, les musées et les autres institutions scientifiques culturelles, etc. </w:t>
      </w:r>
    </w:p>
  </w:footnote>
  <w:footnote w:id="12">
    <w:p w14:paraId="2C7C15C4" w14:textId="3685CC11" w:rsidR="00C071C2" w:rsidRPr="00C32F28" w:rsidRDefault="00C071C2" w:rsidP="00C071C2">
      <w:pPr>
        <w:pStyle w:val="Notedebasdepage"/>
        <w:rPr>
          <w:lang w:val="fr-BE"/>
        </w:rPr>
      </w:pPr>
      <w:r w:rsidRPr="00C32F28">
        <w:rPr>
          <w:rStyle w:val="Appelnotedebasdep"/>
        </w:rPr>
        <w:footnoteRef/>
      </w:r>
      <w:r w:rsidRPr="00C071C2">
        <w:rPr>
          <w:lang w:val="fr-BE"/>
        </w:rPr>
        <w:t xml:space="preserve"> </w:t>
      </w:r>
      <w:r w:rsidRPr="00C32F28">
        <w:rPr>
          <w:lang w:val="fr-BE"/>
        </w:rPr>
        <w:t>Mais l’essentiel des matières en termes d’enseignement reste du ressort de l’autorité nationale. On peut également ajouter la coopération internationale et la coopération entre les communautés dans les matières transférées. Elles règle</w:t>
      </w:r>
      <w:r w:rsidR="00EB787C">
        <w:rPr>
          <w:lang w:val="fr-BE"/>
        </w:rPr>
        <w:t>nt</w:t>
      </w:r>
      <w:r w:rsidRPr="00C32F28">
        <w:rPr>
          <w:lang w:val="fr-BE"/>
        </w:rPr>
        <w:t xml:space="preserve"> par ailleurs l’emploi des langues sur leur territoire respectif pour les matières administratives, pour l’enseignement dans les établissements créés, subventionnés ou reconnus par les pouvoirs publics et pour les relations sociales entre employeurs et leur personnel ainsi que pour les actes et documents des entreprises imposés par la loi et les règlements. E. ARCQ, </w:t>
      </w:r>
      <w:r w:rsidR="00EB787C">
        <w:rPr>
          <w:lang w:val="fr-BE"/>
        </w:rPr>
        <w:t>« </w:t>
      </w:r>
      <w:r w:rsidRPr="00C32F28">
        <w:rPr>
          <w:i/>
          <w:iCs/>
          <w:lang w:val="fr-BE"/>
        </w:rPr>
        <w:t>Le transfert de l’exercice des compétences de la Communauté française</w:t>
      </w:r>
      <w:r w:rsidR="00EB787C">
        <w:rPr>
          <w:i/>
          <w:iCs/>
          <w:lang w:val="fr-BE"/>
        </w:rPr>
        <w:t> »</w:t>
      </w:r>
      <w:r w:rsidRPr="00C32F28">
        <w:rPr>
          <w:lang w:val="fr-BE"/>
        </w:rPr>
        <w:t>, Courrier hebdomadaire du CRISP, n°1410-1411, 1993</w:t>
      </w:r>
    </w:p>
  </w:footnote>
  <w:footnote w:id="13">
    <w:p w14:paraId="2F5BD865" w14:textId="77777777" w:rsidR="00C071C2" w:rsidRPr="00C32F28" w:rsidRDefault="00C071C2" w:rsidP="00C071C2">
      <w:pPr>
        <w:pStyle w:val="Notedebasdepage"/>
        <w:rPr>
          <w:lang w:val="fr-BE"/>
        </w:rPr>
      </w:pPr>
      <w:r w:rsidRPr="00C32F28">
        <w:rPr>
          <w:rStyle w:val="Appelnotedebasdep"/>
        </w:rPr>
        <w:footnoteRef/>
      </w:r>
      <w:r w:rsidRPr="00C071C2">
        <w:rPr>
          <w:lang w:val="fr-BE"/>
        </w:rPr>
        <w:t xml:space="preserve"> </w:t>
      </w:r>
      <w:r w:rsidRPr="00C32F28">
        <w:rPr>
          <w:lang w:val="fr-BE"/>
        </w:rPr>
        <w:t>Les conseils régionaux institués par la loi du 4 août 1974 seront supprimés par la loi du 19 juillet 1977 modifiant la loi du 1</w:t>
      </w:r>
      <w:r w:rsidRPr="00C32F28">
        <w:rPr>
          <w:vertAlign w:val="superscript"/>
          <w:lang w:val="fr-BE"/>
        </w:rPr>
        <w:t>er</w:t>
      </w:r>
      <w:r w:rsidRPr="00C32F28">
        <w:rPr>
          <w:lang w:val="fr-BE"/>
        </w:rPr>
        <w:t xml:space="preserve"> août 1974 créant des institutions régionales à titre préparatoire à l’application de l’article 107quater de la Constitution (MB 27 juillet 1972).</w:t>
      </w:r>
    </w:p>
  </w:footnote>
  <w:footnote w:id="14">
    <w:p w14:paraId="71896C83" w14:textId="77777777" w:rsidR="00C071C2" w:rsidRPr="00C32F28" w:rsidRDefault="00C071C2" w:rsidP="00C071C2">
      <w:pPr>
        <w:pStyle w:val="Notedebasdepage"/>
        <w:rPr>
          <w:lang w:val="fr-BE"/>
        </w:rPr>
      </w:pPr>
      <w:r w:rsidRPr="00C32F28">
        <w:rPr>
          <w:rStyle w:val="Appelnotedebasdep"/>
        </w:rPr>
        <w:footnoteRef/>
      </w:r>
      <w:r w:rsidRPr="00C071C2">
        <w:rPr>
          <w:lang w:val="fr-BE"/>
        </w:rPr>
        <w:t xml:space="preserve"> </w:t>
      </w:r>
      <w:r w:rsidRPr="00C32F28">
        <w:rPr>
          <w:lang w:val="fr-BE"/>
        </w:rPr>
        <w:t>L’Agglomération de Bruxelles est une institution supra communale créée par la loi du 26 juillet 1971 (M.B. du 24 août 1971).</w:t>
      </w:r>
    </w:p>
  </w:footnote>
  <w:footnote w:id="15">
    <w:p w14:paraId="4014C4EB" w14:textId="77777777" w:rsidR="00C071C2" w:rsidRPr="00C32F28" w:rsidRDefault="00C071C2" w:rsidP="00C071C2">
      <w:pPr>
        <w:pStyle w:val="Notedebasdepage"/>
        <w:rPr>
          <w:lang w:val="fr-BE"/>
        </w:rPr>
      </w:pPr>
      <w:r w:rsidRPr="00C32F28">
        <w:rPr>
          <w:rStyle w:val="Appelnotedebasdep"/>
        </w:rPr>
        <w:footnoteRef/>
      </w:r>
      <w:r w:rsidRPr="00C071C2">
        <w:rPr>
          <w:lang w:val="fr-BE"/>
        </w:rPr>
        <w:t xml:space="preserve"> </w:t>
      </w:r>
      <w:r w:rsidRPr="00C32F28">
        <w:rPr>
          <w:color w:val="231F20"/>
          <w:shd w:val="clear" w:color="auto" w:fill="FFFFFF"/>
          <w:lang w:val="fr-BE"/>
        </w:rPr>
        <w:t>Les commissions communautaires créées en 1989 reprendront les compétences des commissions de la culture de l’agglomération bruxelloise et leurs compétences seront élargies.</w:t>
      </w:r>
    </w:p>
  </w:footnote>
  <w:footnote w:id="16">
    <w:p w14:paraId="77D3316D" w14:textId="77777777" w:rsidR="00C071C2" w:rsidRPr="00C32F28" w:rsidRDefault="00C071C2" w:rsidP="00C071C2">
      <w:pPr>
        <w:pStyle w:val="Notedebasdepage"/>
        <w:rPr>
          <w:lang w:val="fr-BE"/>
        </w:rPr>
      </w:pPr>
      <w:r w:rsidRPr="00C32F28">
        <w:rPr>
          <w:rStyle w:val="Appelnotedebasdep"/>
        </w:rPr>
        <w:footnoteRef/>
      </w:r>
      <w:r w:rsidRPr="00C071C2">
        <w:rPr>
          <w:lang w:val="fr-BE"/>
        </w:rPr>
        <w:t xml:space="preserve"> </w:t>
      </w:r>
      <w:r w:rsidRPr="00C32F28">
        <w:rPr>
          <w:lang w:val="fr-BE"/>
        </w:rPr>
        <w:t xml:space="preserve">Ph. DE BRUYCKER, </w:t>
      </w:r>
      <w:r w:rsidRPr="00C32F28">
        <w:rPr>
          <w:i/>
          <w:iCs/>
          <w:lang w:val="fr-BE"/>
        </w:rPr>
        <w:t>Bruxelles dans la réforme de l’Etat</w:t>
      </w:r>
      <w:r w:rsidRPr="00C32F28">
        <w:rPr>
          <w:lang w:val="fr-BE"/>
        </w:rPr>
        <w:t xml:space="preserve">, Courrier hebdomadaire du CRISP, n° 1230-1231, 1989 et </w:t>
      </w:r>
      <w:r w:rsidRPr="00C071C2">
        <w:rPr>
          <w:lang w:val="fr-BE"/>
        </w:rPr>
        <w:t>ARCQ, 1993</w:t>
      </w:r>
    </w:p>
  </w:footnote>
  <w:footnote w:id="17">
    <w:p w14:paraId="487EE865" w14:textId="11BEE767" w:rsidR="00243DB5" w:rsidRPr="00C32F28" w:rsidRDefault="00243DB5" w:rsidP="00243DB5">
      <w:pPr>
        <w:pStyle w:val="Notedebasdepage"/>
        <w:rPr>
          <w:lang w:val="fr-BE"/>
        </w:rPr>
      </w:pPr>
      <w:r w:rsidRPr="00C32F28">
        <w:rPr>
          <w:rStyle w:val="Appelnotedebasdep"/>
        </w:rPr>
        <w:footnoteRef/>
      </w:r>
      <w:r w:rsidRPr="00C32F28">
        <w:rPr>
          <w:lang w:val="fr-BE"/>
        </w:rPr>
        <w:t xml:space="preserve"> EMOND J. et QUERTAINMONT Ph., </w:t>
      </w:r>
      <w:r w:rsidRPr="00C32F28">
        <w:rPr>
          <w:i/>
          <w:lang w:val="fr-BE"/>
        </w:rPr>
        <w:t>Les mécanismes de financement des Régions et des Communautés après la dernière réforme de l’État</w:t>
      </w:r>
      <w:r w:rsidRPr="00C32F28">
        <w:rPr>
          <w:lang w:val="fr-BE"/>
        </w:rPr>
        <w:t>, Cour des Comptes, 1994.</w:t>
      </w:r>
    </w:p>
  </w:footnote>
  <w:footnote w:id="18">
    <w:p w14:paraId="20EEC654" w14:textId="1EE9FA94" w:rsidR="00243DB5" w:rsidRPr="00C32F28" w:rsidRDefault="00243DB5" w:rsidP="00243DB5">
      <w:pPr>
        <w:pStyle w:val="Notedebasdepage"/>
        <w:rPr>
          <w:lang w:val="fr-BE"/>
        </w:rPr>
      </w:pPr>
      <w:r w:rsidRPr="00C32F28">
        <w:rPr>
          <w:rStyle w:val="Appelnotedebasdep"/>
          <w:lang w:val="fr-BE"/>
        </w:rPr>
        <w:footnoteRef/>
      </w:r>
      <w:r w:rsidR="0075674E" w:rsidRPr="00C071C2">
        <w:rPr>
          <w:lang w:val="fr-BE"/>
        </w:rPr>
        <w:t xml:space="preserve">VAN BOL J.M., « Les ressources des Communautés et des Régions en 1982 », </w:t>
      </w:r>
      <w:r w:rsidR="0075674E" w:rsidRPr="00C071C2">
        <w:rPr>
          <w:i/>
          <w:lang w:val="fr-BE"/>
        </w:rPr>
        <w:t>Administration Publique</w:t>
      </w:r>
      <w:r w:rsidR="0075674E" w:rsidRPr="00C071C2">
        <w:rPr>
          <w:lang w:val="fr-BE"/>
        </w:rPr>
        <w:t>, 1983</w:t>
      </w:r>
      <w:r w:rsidRPr="00C32F28">
        <w:rPr>
          <w:lang w:val="fr-BE"/>
        </w:rPr>
        <w:t xml:space="preserve">, </w:t>
      </w:r>
      <w:bookmarkStart w:id="4" w:name="_Hlk96697154"/>
      <w:r w:rsidR="0075674E" w:rsidRPr="00C32F28">
        <w:rPr>
          <w:lang w:val="fr-BE"/>
        </w:rPr>
        <w:t>QUERTAINMONT</w:t>
      </w:r>
      <w:r w:rsidRPr="00C32F28">
        <w:rPr>
          <w:lang w:val="fr-BE"/>
        </w:rPr>
        <w:t xml:space="preserve"> Ph.,</w:t>
      </w:r>
      <w:r w:rsidR="00EB787C">
        <w:rPr>
          <w:lang w:val="fr-BE"/>
        </w:rPr>
        <w:t xml:space="preserve"> « Les relations financières entre l’Etat central, les Régions et les Communautés en Belgique », in </w:t>
      </w:r>
      <w:r w:rsidR="00EB787C" w:rsidRPr="00EB787C">
        <w:rPr>
          <w:i/>
          <w:iCs/>
          <w:lang w:val="fr-BE"/>
        </w:rPr>
        <w:t>Les problèmes de financement dans l’Etat régionalisé</w:t>
      </w:r>
      <w:r w:rsidR="00EB787C">
        <w:rPr>
          <w:lang w:val="fr-BE"/>
        </w:rPr>
        <w:t>, Centre interuniversitaire de droit public, Bruylant, Bruxelles,</w:t>
      </w:r>
      <w:r w:rsidRPr="00C32F28">
        <w:rPr>
          <w:lang w:val="fr-BE"/>
        </w:rPr>
        <w:t xml:space="preserve"> 1981</w:t>
      </w:r>
      <w:bookmarkEnd w:id="4"/>
      <w:r w:rsidR="00EB787C">
        <w:rPr>
          <w:lang w:val="fr-BE"/>
        </w:rPr>
        <w:t xml:space="preserve"> </w:t>
      </w:r>
      <w:r w:rsidRPr="00C32F28">
        <w:rPr>
          <w:lang w:val="fr-BE"/>
        </w:rPr>
        <w:t xml:space="preserve">et </w:t>
      </w:r>
      <w:r w:rsidR="0075674E" w:rsidRPr="00C32F28">
        <w:rPr>
          <w:lang w:val="fr-BE"/>
        </w:rPr>
        <w:t>QUINTIN</w:t>
      </w:r>
      <w:r w:rsidRPr="00C32F28">
        <w:rPr>
          <w:lang w:val="fr-BE"/>
        </w:rPr>
        <w:t xml:space="preserve"> J.M., « La régionalisation des budgets », </w:t>
      </w:r>
      <w:r w:rsidRPr="00C32F28">
        <w:rPr>
          <w:i/>
          <w:lang w:val="fr-BE"/>
        </w:rPr>
        <w:t>Annales de droit</w:t>
      </w:r>
      <w:r w:rsidRPr="00C32F28">
        <w:rPr>
          <w:lang w:val="fr-BE"/>
        </w:rPr>
        <w:t>, 1975.</w:t>
      </w:r>
    </w:p>
  </w:footnote>
  <w:footnote w:id="19">
    <w:p w14:paraId="6B8215F7" w14:textId="77777777" w:rsidR="00697EC9" w:rsidRPr="00C32F28" w:rsidRDefault="00697EC9" w:rsidP="00697EC9">
      <w:pPr>
        <w:pStyle w:val="Notedebasdepage"/>
        <w:rPr>
          <w:lang w:val="fr-BE"/>
        </w:rPr>
      </w:pPr>
      <w:r w:rsidRPr="00C32F28">
        <w:rPr>
          <w:rStyle w:val="Appelnotedebasdep"/>
        </w:rPr>
        <w:footnoteRef/>
      </w:r>
      <w:r w:rsidRPr="00C071C2">
        <w:rPr>
          <w:lang w:val="fr-BE"/>
        </w:rPr>
        <w:t xml:space="preserve"> </w:t>
      </w:r>
      <w:r w:rsidRPr="00C32F28">
        <w:rPr>
          <w:lang w:val="fr-BE"/>
        </w:rPr>
        <w:t>MB du 14 juillet 1973.</w:t>
      </w:r>
    </w:p>
  </w:footnote>
  <w:footnote w:id="20">
    <w:p w14:paraId="7891A1EF" w14:textId="4A92C590" w:rsidR="00697EC9" w:rsidRPr="00C32F28" w:rsidRDefault="00697EC9" w:rsidP="00697EC9">
      <w:pPr>
        <w:jc w:val="both"/>
        <w:rPr>
          <w:sz w:val="20"/>
        </w:rPr>
      </w:pPr>
      <w:r w:rsidRPr="00C071C2">
        <w:rPr>
          <w:rStyle w:val="Appelnotedebasdep"/>
        </w:rPr>
        <w:footnoteRef/>
      </w:r>
      <w:r w:rsidRPr="00C32F28">
        <w:rPr>
          <w:sz w:val="20"/>
        </w:rPr>
        <w:t>Elle est la première de toutes les assemblées à être directement élue dès 1974</w:t>
      </w:r>
      <w:r w:rsidRPr="00C071C2">
        <w:rPr>
          <w:sz w:val="20"/>
        </w:rPr>
        <w:t xml:space="preserve">. </w:t>
      </w:r>
      <w:r w:rsidRPr="00C32F28">
        <w:rPr>
          <w:sz w:val="20"/>
        </w:rPr>
        <w:t xml:space="preserve">Cependant, le pouvoir exécutif était exercé par les ministres nationaux et le Premier ministre. Pour une analyse de la Communauté Germanophone voir notamment </w:t>
      </w:r>
      <w:hyperlink r:id="rId1" w:history="1">
        <w:r w:rsidRPr="00C32F28">
          <w:rPr>
            <w:rStyle w:val="Lienhypertexte"/>
            <w:color w:val="auto"/>
            <w:sz w:val="20"/>
            <w:u w:val="none"/>
          </w:rPr>
          <w:t xml:space="preserve">C. </w:t>
        </w:r>
        <w:bookmarkStart w:id="5" w:name="_Hlk91944668"/>
        <w:r w:rsidRPr="00C32F28">
          <w:rPr>
            <w:rStyle w:val="Lienhypertexte"/>
            <w:color w:val="auto"/>
            <w:sz w:val="20"/>
            <w:u w:val="none"/>
          </w:rPr>
          <w:t>SAGESSER</w:t>
        </w:r>
        <w:bookmarkEnd w:id="5"/>
        <w:r w:rsidRPr="00C32F28">
          <w:rPr>
            <w:rStyle w:val="Lienhypertexte"/>
            <w:color w:val="auto"/>
            <w:sz w:val="20"/>
            <w:u w:val="none"/>
          </w:rPr>
          <w:t xml:space="preserve"> et D. GERMANI, </w:t>
        </w:r>
      </w:hyperlink>
      <w:r w:rsidRPr="00C32F28">
        <w:rPr>
          <w:rStyle w:val="auteur"/>
          <w:sz w:val="20"/>
        </w:rPr>
        <w:t>La Co</w:t>
      </w:r>
      <w:r w:rsidRPr="00C32F28">
        <w:rPr>
          <w:sz w:val="20"/>
        </w:rPr>
        <w:t xml:space="preserve">mmunauté germanophone : histoire, institutions, économie, </w:t>
      </w:r>
      <w:hyperlink r:id="rId2" w:history="1">
        <w:r w:rsidRPr="00E418A4">
          <w:rPr>
            <w:rStyle w:val="Lienhypertexte"/>
            <w:i/>
            <w:iCs/>
            <w:color w:val="auto"/>
            <w:sz w:val="20"/>
            <w:u w:val="none"/>
          </w:rPr>
          <w:t>Courrier hebdomadaire du CRISP</w:t>
        </w:r>
      </w:hyperlink>
      <w:r w:rsidRPr="00C32F28">
        <w:rPr>
          <w:rStyle w:val="titre-revue"/>
          <w:sz w:val="20"/>
        </w:rPr>
        <w:t>,</w:t>
      </w:r>
      <w:r w:rsidRPr="00C32F28">
        <w:rPr>
          <w:rStyle w:val="in-revue"/>
          <w:sz w:val="20"/>
        </w:rPr>
        <w:t> </w:t>
      </w:r>
      <w:hyperlink r:id="rId3" w:history="1">
        <w:r w:rsidRPr="00C071C2">
          <w:rPr>
            <w:rStyle w:val="Lienhypertexte"/>
            <w:color w:val="auto"/>
            <w:sz w:val="20"/>
            <w:u w:val="none"/>
          </w:rPr>
          <w:t>2008/1</w:t>
        </w:r>
        <w:r w:rsidR="00C071C2" w:rsidRPr="00C071C2">
          <w:rPr>
            <w:rStyle w:val="Lienhypertexte"/>
            <w:sz w:val="20"/>
            <w:u w:val="none"/>
          </w:rPr>
          <w:t xml:space="preserve">, </w:t>
        </w:r>
        <w:r w:rsidRPr="00C071C2">
          <w:rPr>
            <w:rStyle w:val="Lienhypertexte"/>
            <w:color w:val="auto"/>
            <w:sz w:val="20"/>
            <w:u w:val="none"/>
          </w:rPr>
          <w:t>n°1986</w:t>
        </w:r>
      </w:hyperlink>
      <w:r w:rsidRPr="00C071C2">
        <w:rPr>
          <w:rStyle w:val="in-revue"/>
          <w:sz w:val="20"/>
        </w:rPr>
        <w:t xml:space="preserve"> et </w:t>
      </w:r>
      <w:r w:rsidRPr="00C071C2">
        <w:rPr>
          <w:sz w:val="20"/>
        </w:rPr>
        <w:t xml:space="preserve">F. BOUHON, CH. NIESSEN et M. REUCHAMPS, </w:t>
      </w:r>
      <w:r w:rsidRPr="00C071C2">
        <w:rPr>
          <w:i/>
          <w:iCs/>
          <w:sz w:val="20"/>
        </w:rPr>
        <w:t>La Communauté germanophone après la sixième</w:t>
      </w:r>
      <w:r w:rsidRPr="00C32F28">
        <w:rPr>
          <w:i/>
          <w:iCs/>
          <w:sz w:val="20"/>
        </w:rPr>
        <w:t xml:space="preserve"> réforme de l’Etat : Etats des lieux, débats et perspectives</w:t>
      </w:r>
      <w:r w:rsidRPr="00C32F28">
        <w:rPr>
          <w:sz w:val="20"/>
        </w:rPr>
        <w:t>, Courrier Hebdomadaire du CRISP, n° 2266-2267, 2015</w:t>
      </w:r>
    </w:p>
  </w:footnote>
  <w:footnote w:id="21">
    <w:p w14:paraId="05FE3BBF" w14:textId="77777777" w:rsidR="00697EC9" w:rsidRPr="0001092D" w:rsidRDefault="00697EC9" w:rsidP="00697EC9">
      <w:pPr>
        <w:jc w:val="both"/>
        <w:rPr>
          <w:sz w:val="20"/>
        </w:rPr>
      </w:pPr>
      <w:r w:rsidRPr="0001092D">
        <w:rPr>
          <w:rStyle w:val="Appelnotedebasdep"/>
          <w:sz w:val="20"/>
        </w:rPr>
        <w:footnoteRef/>
      </w:r>
      <w:r w:rsidRPr="0001092D">
        <w:rPr>
          <w:sz w:val="20"/>
        </w:rPr>
        <w:t xml:space="preserve"> </w:t>
      </w:r>
      <w:r w:rsidRPr="00C32F28">
        <w:rPr>
          <w:sz w:val="20"/>
          <w:lang w:eastAsia="fr-BE"/>
        </w:rPr>
        <w:t xml:space="preserve">B. BAYENET et S. VEIDERS, Le financement de la Communauté germanophone, Courrier hebdomadaire du CRISP, n°1983-84, 2007. </w:t>
      </w:r>
    </w:p>
  </w:footnote>
  <w:footnote w:id="22">
    <w:p w14:paraId="77D39B21" w14:textId="4700A9F2" w:rsidR="00025608" w:rsidRPr="00C32F28" w:rsidRDefault="00025608" w:rsidP="00025608">
      <w:pPr>
        <w:pStyle w:val="Notedebasdepage"/>
        <w:rPr>
          <w:lang w:val="fr-BE"/>
        </w:rPr>
      </w:pPr>
      <w:r w:rsidRPr="00C32F28">
        <w:rPr>
          <w:rStyle w:val="Appelnotedebasdep"/>
          <w:lang w:val="fr-BE"/>
        </w:rPr>
        <w:footnoteRef/>
      </w:r>
      <w:r w:rsidRPr="00C32F28">
        <w:rPr>
          <w:lang w:val="fr-BE"/>
        </w:rPr>
        <w:t xml:space="preserve"> Loi spéciale du 8 août 1980 de réformes institutionnelles (</w:t>
      </w:r>
      <w:r w:rsidRPr="00C32F28">
        <w:rPr>
          <w:i/>
          <w:lang w:val="fr-BE"/>
        </w:rPr>
        <w:t>M.B.,</w:t>
      </w:r>
      <w:r w:rsidRPr="00C32F28">
        <w:rPr>
          <w:lang w:val="fr-BE"/>
        </w:rPr>
        <w:t xml:space="preserve"> 15 août 1980) ; loi du 9 août 1980 de réformes institutionnelles </w:t>
      </w:r>
      <w:r w:rsidRPr="00C32F28">
        <w:rPr>
          <w:i/>
          <w:lang w:val="fr-BE"/>
        </w:rPr>
        <w:t>(M.B</w:t>
      </w:r>
      <w:r w:rsidRPr="00C32F28">
        <w:rPr>
          <w:lang w:val="fr-BE"/>
        </w:rPr>
        <w:t>., 15 août 1980).</w:t>
      </w:r>
      <w:r w:rsidR="0034029A" w:rsidRPr="00C32F28">
        <w:rPr>
          <w:lang w:val="fr-BE"/>
        </w:rPr>
        <w:t>Ce sont les lois fondatrices du fédéralisme belge. Elles ont été modifiées à plusieurs reprises mais elles constituent toujours la base sur laquelle est construit le système fédéral actuel (M. UYTTENDAELE, 2017).</w:t>
      </w:r>
    </w:p>
  </w:footnote>
  <w:footnote w:id="23">
    <w:p w14:paraId="6F4C4967" w14:textId="77777777" w:rsidR="008E01F6" w:rsidRPr="0001092D" w:rsidRDefault="008E01F6" w:rsidP="008E01F6">
      <w:pPr>
        <w:pStyle w:val="Notedebasdepage"/>
        <w:rPr>
          <w:lang w:val="fr-BE"/>
        </w:rPr>
      </w:pPr>
      <w:r w:rsidRPr="00C32F28">
        <w:rPr>
          <w:rStyle w:val="Appelnotedebasdep"/>
        </w:rPr>
        <w:footnoteRef/>
      </w:r>
      <w:r w:rsidRPr="00C32F28">
        <w:rPr>
          <w:lang w:val="fr-BE"/>
        </w:rPr>
        <w:t>Jusque-là, les Commissions culturelles n’avaient pas d’exécutif propre. Les ministres faisaient partie du gouvernement national.</w:t>
      </w:r>
    </w:p>
  </w:footnote>
  <w:footnote w:id="24">
    <w:p w14:paraId="51DEE30F" w14:textId="4F772937" w:rsidR="001A1730" w:rsidRPr="001A1730" w:rsidRDefault="001A1730">
      <w:pPr>
        <w:pStyle w:val="Notedebasdepage"/>
        <w:rPr>
          <w:lang w:val="fr-BE"/>
        </w:rPr>
      </w:pPr>
      <w:r>
        <w:rPr>
          <w:rStyle w:val="Appelnotedebasdep"/>
        </w:rPr>
        <w:footnoteRef/>
      </w:r>
      <w:r>
        <w:t xml:space="preserve"> </w:t>
      </w:r>
      <w:r>
        <w:rPr>
          <w:lang w:val="fr-BE"/>
        </w:rPr>
        <w:t>Hors sécurité sociale</w:t>
      </w:r>
    </w:p>
  </w:footnote>
  <w:footnote w:id="25">
    <w:p w14:paraId="705862CF" w14:textId="4709C158" w:rsidR="00025608" w:rsidRPr="00C32F28" w:rsidRDefault="00025608">
      <w:pPr>
        <w:pStyle w:val="Notedebasdepage"/>
        <w:rPr>
          <w:lang w:val="fr-BE"/>
        </w:rPr>
      </w:pPr>
      <w:r w:rsidRPr="00C32F28">
        <w:rPr>
          <w:rStyle w:val="Appelnotedebasdep"/>
        </w:rPr>
        <w:footnoteRef/>
      </w:r>
      <w:r w:rsidRPr="0001092D">
        <w:rPr>
          <w:lang w:val="fr-BE"/>
        </w:rPr>
        <w:t>la politique de la famille, l'aide sociale, l’accueil et l'intégration des immigrés, la politique des handicapés, la politique du troisième âge, la protection de la jeunesse et l'aide sociale aux détenus</w:t>
      </w:r>
      <w:r w:rsidR="008E01F6" w:rsidRPr="0001092D">
        <w:rPr>
          <w:lang w:val="fr-BE"/>
        </w:rPr>
        <w:t>.</w:t>
      </w:r>
    </w:p>
  </w:footnote>
  <w:footnote w:id="26">
    <w:p w14:paraId="7EC70281" w14:textId="77777777" w:rsidR="00025315" w:rsidRPr="00C32F28" w:rsidRDefault="00025315" w:rsidP="00025315">
      <w:pPr>
        <w:pStyle w:val="Notedebasdepage"/>
        <w:rPr>
          <w:lang w:val="fr-BE"/>
        </w:rPr>
      </w:pPr>
      <w:r w:rsidRPr="00C32F28">
        <w:rPr>
          <w:rStyle w:val="Appelnotedebasdep"/>
        </w:rPr>
        <w:footnoteRef/>
      </w:r>
      <w:r w:rsidRPr="0001092D">
        <w:rPr>
          <w:lang w:val="fr-BE"/>
        </w:rPr>
        <w:t xml:space="preserve"> </w:t>
      </w:r>
      <w:r w:rsidRPr="00C32F28">
        <w:rPr>
          <w:lang w:val="fr-BE"/>
        </w:rPr>
        <w:t>Loi du 5 juillet 1979 modifiant la loi du 1</w:t>
      </w:r>
      <w:r w:rsidRPr="00C32F28">
        <w:rPr>
          <w:vertAlign w:val="superscript"/>
          <w:lang w:val="fr-BE"/>
        </w:rPr>
        <w:t>er</w:t>
      </w:r>
      <w:r w:rsidRPr="00C32F28">
        <w:rPr>
          <w:lang w:val="fr-BE"/>
        </w:rPr>
        <w:t xml:space="preserve"> août 1974 créant des institutions régionales à titre préparatoire à l’application de l’article 107 quater de la Constitution modifiée par la loi du 17 juillet 1977.</w:t>
      </w:r>
    </w:p>
  </w:footnote>
  <w:footnote w:id="27">
    <w:p w14:paraId="7C74FED9" w14:textId="1484062B" w:rsidR="001A1730" w:rsidRPr="001A1730" w:rsidRDefault="001A1730">
      <w:pPr>
        <w:pStyle w:val="Notedebasdepage"/>
        <w:rPr>
          <w:lang w:val="fr-BE"/>
        </w:rPr>
      </w:pPr>
      <w:r>
        <w:rPr>
          <w:rStyle w:val="Appelnotedebasdep"/>
        </w:rPr>
        <w:footnoteRef/>
      </w:r>
      <w:r>
        <w:t xml:space="preserve"> </w:t>
      </w:r>
      <w:r>
        <w:rPr>
          <w:lang w:val="fr-BE"/>
        </w:rPr>
        <w:t>ARCQ, 1993.</w:t>
      </w:r>
    </w:p>
  </w:footnote>
  <w:footnote w:id="28">
    <w:p w14:paraId="699DECEE" w14:textId="380CB9B6" w:rsidR="00EA78F8" w:rsidRPr="00C32F28" w:rsidRDefault="00EA78F8">
      <w:pPr>
        <w:pStyle w:val="Notedebasdepage"/>
        <w:rPr>
          <w:lang w:val="fr-BE"/>
        </w:rPr>
      </w:pPr>
      <w:r w:rsidRPr="00C32F28">
        <w:rPr>
          <w:rStyle w:val="Appelnotedebasdep"/>
        </w:rPr>
        <w:footnoteRef/>
      </w:r>
      <w:r w:rsidRPr="0001092D">
        <w:rPr>
          <w:lang w:val="fr-BE"/>
        </w:rPr>
        <w:t xml:space="preserve"> modifiée en 1979</w:t>
      </w:r>
      <w:r w:rsidR="00207E7F" w:rsidRPr="00C32F28">
        <w:rPr>
          <w:lang w:val="fr-BE"/>
        </w:rPr>
        <w:t>.</w:t>
      </w:r>
    </w:p>
  </w:footnote>
  <w:footnote w:id="29">
    <w:p w14:paraId="565345B8" w14:textId="4DA2A723" w:rsidR="009D332D" w:rsidRPr="00C32F28" w:rsidRDefault="009D332D" w:rsidP="009D332D">
      <w:pPr>
        <w:pStyle w:val="Notedebasdepage"/>
        <w:rPr>
          <w:lang w:val="fr-BE"/>
        </w:rPr>
      </w:pPr>
      <w:r w:rsidRPr="00C32F28">
        <w:rPr>
          <w:rStyle w:val="Appelnotedebasdep"/>
        </w:rPr>
        <w:footnoteRef/>
      </w:r>
      <w:r w:rsidRPr="0001092D">
        <w:rPr>
          <w:lang w:val="fr-BE"/>
        </w:rPr>
        <w:t xml:space="preserve"> </w:t>
      </w:r>
      <w:r w:rsidRPr="00C32F28">
        <w:rPr>
          <w:lang w:val="fr-BE"/>
        </w:rPr>
        <w:t xml:space="preserve">S. GOVAERT, </w:t>
      </w:r>
      <w:r w:rsidRPr="00C32F28">
        <w:rPr>
          <w:i/>
          <w:iCs/>
          <w:lang w:val="fr-BE"/>
        </w:rPr>
        <w:t>Le conseil de la Région de Bruxelles-Capitale</w:t>
      </w:r>
      <w:r w:rsidRPr="00C32F28">
        <w:rPr>
          <w:lang w:val="fr-BE"/>
        </w:rPr>
        <w:t>, Courrier hebdomadaire du CRISP 1351-1352, 1992.</w:t>
      </w:r>
    </w:p>
  </w:footnote>
  <w:footnote w:id="30">
    <w:p w14:paraId="3F7B386C" w14:textId="77777777" w:rsidR="00F10D08" w:rsidRPr="00C32F28" w:rsidRDefault="00F10D08" w:rsidP="00F10D08">
      <w:pPr>
        <w:pStyle w:val="Notedebasdepage"/>
        <w:rPr>
          <w:lang w:val="fr-BE"/>
        </w:rPr>
      </w:pPr>
      <w:r w:rsidRPr="00C32F28">
        <w:rPr>
          <w:rStyle w:val="Appelnotedebasdep"/>
          <w:lang w:val="fr-BE"/>
        </w:rPr>
        <w:footnoteRef/>
      </w:r>
      <w:r w:rsidRPr="00C32F28">
        <w:rPr>
          <w:lang w:val="fr-BE"/>
        </w:rPr>
        <w:t xml:space="preserve"> Articles 1 à 15 de la loi du 9 août 1980.</w:t>
      </w:r>
    </w:p>
  </w:footnote>
  <w:footnote w:id="31">
    <w:p w14:paraId="6F2BD127" w14:textId="77777777" w:rsidR="00EB2AE8" w:rsidRPr="00C32F28" w:rsidRDefault="00EB2AE8" w:rsidP="00EB2AE8">
      <w:pPr>
        <w:pStyle w:val="Notedebasdepage"/>
        <w:rPr>
          <w:lang w:val="fr-BE"/>
        </w:rPr>
      </w:pPr>
      <w:r w:rsidRPr="00C32F28">
        <w:rPr>
          <w:rStyle w:val="Appelnotedebasdep"/>
          <w:lang w:val="fr-BE"/>
        </w:rPr>
        <w:footnoteRef/>
      </w:r>
      <w:r w:rsidRPr="00C32F28">
        <w:rPr>
          <w:lang w:val="fr-BE"/>
        </w:rPr>
        <w:t xml:space="preserve"> Article 15 de la loi du 9 août 1980.</w:t>
      </w:r>
    </w:p>
  </w:footnote>
  <w:footnote w:id="32">
    <w:p w14:paraId="566EEB89" w14:textId="7D71A635" w:rsidR="00DB7676" w:rsidRPr="00C32F28" w:rsidRDefault="00DB7676">
      <w:pPr>
        <w:pStyle w:val="Notedebasdepage"/>
        <w:rPr>
          <w:lang w:val="fr-BE"/>
        </w:rPr>
      </w:pPr>
      <w:r w:rsidRPr="00C32F28">
        <w:rPr>
          <w:rStyle w:val="Appelnotedebasdep"/>
        </w:rPr>
        <w:footnoteRef/>
      </w:r>
      <w:r w:rsidRPr="0001092D">
        <w:rPr>
          <w:lang w:val="fr-BE"/>
        </w:rPr>
        <w:t xml:space="preserve"> </w:t>
      </w:r>
      <w:r w:rsidRPr="00C32F28">
        <w:rPr>
          <w:lang w:val="fr-BE"/>
        </w:rPr>
        <w:t>Pour une analyse, voir BAYENET et al, 1999.</w:t>
      </w:r>
    </w:p>
  </w:footnote>
  <w:footnote w:id="33">
    <w:p w14:paraId="2B35274A" w14:textId="22E4A18B" w:rsidR="00A12876" w:rsidRPr="00C32F28" w:rsidRDefault="00A12876" w:rsidP="00A12876">
      <w:pPr>
        <w:pStyle w:val="Notedebasdepage"/>
        <w:rPr>
          <w:lang w:val="fr-BE"/>
        </w:rPr>
      </w:pPr>
      <w:r w:rsidRPr="00C32F28">
        <w:rPr>
          <w:rStyle w:val="Appelnotedebasdep"/>
        </w:rPr>
        <w:footnoteRef/>
      </w:r>
      <w:r w:rsidRPr="00C32F28">
        <w:rPr>
          <w:lang w:val="fr-BE"/>
        </w:rPr>
        <w:t>M.B. du 18 janvier 1984.</w:t>
      </w:r>
    </w:p>
  </w:footnote>
  <w:footnote w:id="34">
    <w:p w14:paraId="69AB8C2A" w14:textId="77777777" w:rsidR="001534E4" w:rsidRPr="00C32F28" w:rsidRDefault="001534E4" w:rsidP="001534E4">
      <w:pPr>
        <w:pStyle w:val="Notedebasdepage"/>
        <w:rPr>
          <w:lang w:val="fr-BE"/>
        </w:rPr>
      </w:pPr>
      <w:r w:rsidRPr="00C32F28">
        <w:rPr>
          <w:rStyle w:val="Appelnotedebasdep"/>
          <w:lang w:val="fr-BE"/>
        </w:rPr>
        <w:footnoteRef/>
      </w:r>
      <w:r w:rsidRPr="00C32F28">
        <w:rPr>
          <w:lang w:val="fr-BE"/>
        </w:rPr>
        <w:t xml:space="preserve"> Pour une analyse plus détaillée voir J. BRASSINNE et X. MABILLE, </w:t>
      </w:r>
      <w:r w:rsidRPr="00C32F28">
        <w:rPr>
          <w:i/>
          <w:lang w:val="fr-BE"/>
        </w:rPr>
        <w:t xml:space="preserve">in </w:t>
      </w:r>
      <w:r w:rsidRPr="00C32F28">
        <w:rPr>
          <w:lang w:val="fr-BE"/>
        </w:rPr>
        <w:t xml:space="preserve">« La révision de la constitution. Juillet 1988 », CRISP, </w:t>
      </w:r>
      <w:r w:rsidRPr="00C32F28">
        <w:rPr>
          <w:i/>
          <w:lang w:val="fr-BE"/>
        </w:rPr>
        <w:t>Courrier hebdomadaire</w:t>
      </w:r>
      <w:r w:rsidRPr="00C32F28">
        <w:rPr>
          <w:lang w:val="fr-BE"/>
        </w:rPr>
        <w:t xml:space="preserve">, n°1207, 1988 ; </w:t>
      </w:r>
      <w:r w:rsidRPr="00C32F28">
        <w:rPr>
          <w:i/>
          <w:lang w:val="fr-BE"/>
        </w:rPr>
        <w:t xml:space="preserve">idem, </w:t>
      </w:r>
      <w:r w:rsidRPr="00C32F28">
        <w:rPr>
          <w:lang w:val="fr-BE"/>
        </w:rPr>
        <w:t xml:space="preserve">« La crise gouvernementale », CRISP, </w:t>
      </w:r>
      <w:r w:rsidRPr="00C32F28">
        <w:rPr>
          <w:i/>
          <w:lang w:val="fr-BE"/>
        </w:rPr>
        <w:t>Courrier hebdomadaire</w:t>
      </w:r>
      <w:r w:rsidRPr="00C32F28">
        <w:rPr>
          <w:lang w:val="fr-BE"/>
        </w:rPr>
        <w:t>, n°1198-1199, 1988.</w:t>
      </w:r>
    </w:p>
  </w:footnote>
  <w:footnote w:id="35">
    <w:p w14:paraId="47D933DF" w14:textId="77777777" w:rsidR="001534E4" w:rsidRPr="00C32F28" w:rsidRDefault="001534E4" w:rsidP="001534E4">
      <w:pPr>
        <w:pStyle w:val="Notedebasdepage"/>
        <w:rPr>
          <w:lang w:val="fr-BE"/>
        </w:rPr>
      </w:pPr>
      <w:r w:rsidRPr="00C32F28">
        <w:rPr>
          <w:rStyle w:val="Appelnotedebasdep"/>
          <w:lang w:val="fr-BE"/>
        </w:rPr>
        <w:footnoteRef/>
      </w:r>
      <w:r w:rsidRPr="00C32F28">
        <w:rPr>
          <w:lang w:val="fr-BE"/>
        </w:rPr>
        <w:t xml:space="preserve"> </w:t>
      </w:r>
      <w:proofErr w:type="spellStart"/>
      <w:r w:rsidRPr="00C32F28">
        <w:rPr>
          <w:lang w:val="fr-BE"/>
        </w:rPr>
        <w:t>Voy</w:t>
      </w:r>
      <w:proofErr w:type="spellEnd"/>
      <w:r w:rsidRPr="00C32F28">
        <w:rPr>
          <w:lang w:val="fr-BE"/>
        </w:rPr>
        <w:t>., notamment, la loi spéciale du 8 août 1988 modifiant la loi spéciale du 8 août 1980 (</w:t>
      </w:r>
      <w:r w:rsidRPr="00C32F28">
        <w:rPr>
          <w:i/>
          <w:lang w:val="fr-BE"/>
        </w:rPr>
        <w:t>M.B.,</w:t>
      </w:r>
      <w:r w:rsidRPr="00C32F28">
        <w:rPr>
          <w:lang w:val="fr-BE"/>
        </w:rPr>
        <w:t xml:space="preserve"> 13 août 1988), la loi spéciale du 16 janvier 1989 relative au financement des Communautés et Régions (</w:t>
      </w:r>
      <w:r w:rsidRPr="00C32F28">
        <w:rPr>
          <w:i/>
          <w:lang w:val="fr-BE"/>
        </w:rPr>
        <w:t>M.B.,</w:t>
      </w:r>
      <w:r w:rsidRPr="00C32F28">
        <w:rPr>
          <w:lang w:val="fr-BE"/>
        </w:rPr>
        <w:t xml:space="preserve"> 17 janvier 1989) et la loi spéciale du 12 janvier 1989 relative aux institutions bruxelloises (</w:t>
      </w:r>
      <w:r w:rsidRPr="00C32F28">
        <w:rPr>
          <w:i/>
          <w:lang w:val="fr-BE"/>
        </w:rPr>
        <w:t>M.B.,</w:t>
      </w:r>
      <w:r w:rsidRPr="00C32F28">
        <w:rPr>
          <w:lang w:val="fr-BE"/>
        </w:rPr>
        <w:t xml:space="preserve"> 14 janvier 1989, </w:t>
      </w:r>
      <w:proofErr w:type="spellStart"/>
      <w:r w:rsidRPr="00C32F28">
        <w:rPr>
          <w:lang w:val="fr-BE"/>
        </w:rPr>
        <w:t>err</w:t>
      </w:r>
      <w:proofErr w:type="spellEnd"/>
      <w:r w:rsidRPr="00C32F28">
        <w:rPr>
          <w:lang w:val="fr-BE"/>
        </w:rPr>
        <w:t xml:space="preserve">. </w:t>
      </w:r>
      <w:r w:rsidRPr="00C32F28">
        <w:rPr>
          <w:i/>
          <w:lang w:val="fr-BE"/>
        </w:rPr>
        <w:t>M.B.,</w:t>
      </w:r>
      <w:r w:rsidRPr="00C32F28">
        <w:rPr>
          <w:lang w:val="fr-BE"/>
        </w:rPr>
        <w:t xml:space="preserve"> 16 mars 1989). </w:t>
      </w:r>
    </w:p>
  </w:footnote>
  <w:footnote w:id="36">
    <w:p w14:paraId="3A1E82DE" w14:textId="0133C7E2" w:rsidR="005B39A3" w:rsidRPr="00C32F28" w:rsidRDefault="005B39A3">
      <w:pPr>
        <w:pStyle w:val="Notedebasdepage"/>
        <w:rPr>
          <w:lang w:val="fr-BE"/>
        </w:rPr>
      </w:pPr>
      <w:r w:rsidRPr="00C32F28">
        <w:rPr>
          <w:rStyle w:val="Appelnotedebasdep"/>
          <w:lang w:val="fr-BE"/>
        </w:rPr>
        <w:footnoteRef/>
      </w:r>
      <w:r w:rsidRPr="00C32F28">
        <w:rPr>
          <w:lang w:val="fr-BE"/>
        </w:rPr>
        <w:t xml:space="preserve"> à l'exception des trois matières restées de la compétence de l’autorité fédérale</w:t>
      </w:r>
      <w:r w:rsidR="00010E37" w:rsidRPr="00C32F28">
        <w:rPr>
          <w:lang w:val="fr-BE"/>
        </w:rPr>
        <w:t> :</w:t>
      </w:r>
      <w:r w:rsidRPr="00C32F28">
        <w:rPr>
          <w:lang w:val="fr-BE"/>
        </w:rPr>
        <w:t xml:space="preserve"> </w:t>
      </w:r>
      <w:r w:rsidR="00010E37" w:rsidRPr="00C32F28">
        <w:rPr>
          <w:lang w:val="fr-BE"/>
        </w:rPr>
        <w:t xml:space="preserve">la </w:t>
      </w:r>
      <w:r w:rsidRPr="00C32F28">
        <w:rPr>
          <w:lang w:val="fr-BE"/>
        </w:rPr>
        <w:t xml:space="preserve">fixation du début et de la fin de l'obligation scolaire, </w:t>
      </w:r>
      <w:r w:rsidR="00010E37" w:rsidRPr="00C32F28">
        <w:rPr>
          <w:lang w:val="fr-BE"/>
        </w:rPr>
        <w:t>l</w:t>
      </w:r>
      <w:r w:rsidR="00131EE1" w:rsidRPr="00C32F28">
        <w:rPr>
          <w:lang w:val="fr-BE"/>
        </w:rPr>
        <w:t xml:space="preserve">es </w:t>
      </w:r>
      <w:r w:rsidRPr="00C32F28">
        <w:rPr>
          <w:lang w:val="fr-BE"/>
        </w:rPr>
        <w:t>conditions minimales pour la délivrance des diplômes et le régime des pensions)</w:t>
      </w:r>
      <w:r w:rsidR="00131EE1" w:rsidRPr="00C32F28">
        <w:rPr>
          <w:lang w:val="fr-BE"/>
        </w:rPr>
        <w:t>.</w:t>
      </w:r>
    </w:p>
  </w:footnote>
  <w:footnote w:id="37">
    <w:p w14:paraId="19016C18" w14:textId="5CE42BE7" w:rsidR="00A64223" w:rsidRPr="00C32F28" w:rsidRDefault="00A64223" w:rsidP="00A64223">
      <w:pPr>
        <w:pStyle w:val="Notedebasdepage"/>
        <w:rPr>
          <w:lang w:val="fr-BE"/>
        </w:rPr>
      </w:pPr>
      <w:r w:rsidRPr="00C32F28">
        <w:rPr>
          <w:rStyle w:val="Appelnotedebasdep"/>
        </w:rPr>
        <w:footnoteRef/>
      </w:r>
      <w:r w:rsidRPr="0001092D">
        <w:rPr>
          <w:lang w:val="fr-BE"/>
        </w:rPr>
        <w:t xml:space="preserve"> </w:t>
      </w:r>
      <w:r w:rsidR="006A4D9B">
        <w:rPr>
          <w:lang w:val="fr-BE"/>
        </w:rPr>
        <w:t>Le dédoublement administratif (souvent dénommé scission administrative)</w:t>
      </w:r>
      <w:r w:rsidRPr="00C32F28">
        <w:rPr>
          <w:lang w:val="fr-BE"/>
        </w:rPr>
        <w:t xml:space="preserve"> est consacrée par l’AR du 25 septembre 1969 (MB 30 septembre 1969). SIMON Ch., </w:t>
      </w:r>
      <w:r w:rsidRPr="00C32F28">
        <w:rPr>
          <w:i/>
          <w:iCs/>
          <w:lang w:val="fr-BE"/>
        </w:rPr>
        <w:t>La communautarisation de l’enseignement</w:t>
      </w:r>
      <w:r w:rsidRPr="00C32F28">
        <w:rPr>
          <w:lang w:val="fr-BE"/>
        </w:rPr>
        <w:t>, Courrier hebdomadaire du CRISP, 1121, 1986.</w:t>
      </w:r>
    </w:p>
  </w:footnote>
  <w:footnote w:id="38">
    <w:p w14:paraId="3D4107F5" w14:textId="77777777" w:rsidR="004D2307" w:rsidRPr="00C32F28" w:rsidRDefault="004D2307" w:rsidP="004D2307">
      <w:pPr>
        <w:pStyle w:val="Notedebasdepage"/>
        <w:rPr>
          <w:lang w:val="fr-BE"/>
        </w:rPr>
      </w:pPr>
      <w:r w:rsidRPr="00C32F28">
        <w:rPr>
          <w:rStyle w:val="Appelnotedebasdep"/>
          <w:lang w:val="fr-BE"/>
        </w:rPr>
        <w:footnoteRef/>
      </w:r>
      <w:r w:rsidRPr="00C32F28">
        <w:rPr>
          <w:lang w:val="fr-BE"/>
        </w:rPr>
        <w:t xml:space="preserve"> W. DEWACHTER, « La Belgique d’aujourd’hui comme société politique » in </w:t>
      </w:r>
      <w:r w:rsidRPr="00C32F28">
        <w:rPr>
          <w:i/>
          <w:lang w:val="fr-BE"/>
        </w:rPr>
        <w:t>La Belgique, La force de la désunion</w:t>
      </w:r>
      <w:r w:rsidRPr="00C32F28">
        <w:rPr>
          <w:lang w:val="fr-BE"/>
        </w:rPr>
        <w:t>, Espace international, Editions Complexe, 1996.</w:t>
      </w:r>
    </w:p>
  </w:footnote>
  <w:footnote w:id="39">
    <w:p w14:paraId="53AA61FC" w14:textId="27AC980B" w:rsidR="00ED057E" w:rsidRPr="00C32F28" w:rsidRDefault="00ED057E" w:rsidP="00ED057E">
      <w:pPr>
        <w:pStyle w:val="Notedebasdepage"/>
        <w:rPr>
          <w:lang w:val="fr-BE"/>
        </w:rPr>
      </w:pPr>
      <w:r w:rsidRPr="00C32F28">
        <w:rPr>
          <w:rStyle w:val="Appelnotedebasdep"/>
          <w:lang w:val="fr-BE"/>
        </w:rPr>
        <w:footnoteRef/>
      </w:r>
      <w:r w:rsidRPr="00C32F28">
        <w:rPr>
          <w:lang w:val="fr-BE"/>
        </w:rPr>
        <w:t xml:space="preserve"> SAVAGE R., « Le financement des Communautés et Régions : une appréciation d’ensemble actualisée » in </w:t>
      </w:r>
      <w:r w:rsidRPr="00C32F28">
        <w:rPr>
          <w:i/>
          <w:lang w:val="fr-BE"/>
        </w:rPr>
        <w:t>Finances publiques régionales et fédéralisme fiscal</w:t>
      </w:r>
      <w:r w:rsidRPr="00C32F28">
        <w:rPr>
          <w:lang w:val="fr-BE"/>
        </w:rPr>
        <w:t>, Journée d’Etudes du 11 mars 1994, Presses universitaires de Namur, 1994.</w:t>
      </w:r>
    </w:p>
  </w:footnote>
  <w:footnote w:id="40">
    <w:p w14:paraId="4A7DD717" w14:textId="77777777" w:rsidR="00ED057E" w:rsidRPr="00C32F28" w:rsidRDefault="00ED057E" w:rsidP="00ED057E">
      <w:pPr>
        <w:pStyle w:val="Notedebasdepage"/>
        <w:rPr>
          <w:lang w:val="fr-BE"/>
        </w:rPr>
      </w:pPr>
      <w:r w:rsidRPr="00C32F28">
        <w:rPr>
          <w:rStyle w:val="Appelnotedebasdep"/>
          <w:lang w:val="fr-BE"/>
        </w:rPr>
        <w:footnoteRef/>
      </w:r>
      <w:r w:rsidRPr="00C32F28">
        <w:rPr>
          <w:lang w:val="fr-BE"/>
        </w:rPr>
        <w:t xml:space="preserve"> A l’exception des moyens attribués aux Communautés pour financer l’enseignement.</w:t>
      </w:r>
    </w:p>
  </w:footnote>
  <w:footnote w:id="41">
    <w:p w14:paraId="58B15F53" w14:textId="0D067EA4" w:rsidR="00ED057E" w:rsidRPr="00C32F28" w:rsidRDefault="00ED057E" w:rsidP="00ED057E">
      <w:pPr>
        <w:pStyle w:val="Notedebasdepage"/>
        <w:rPr>
          <w:lang w:val="fr-BE"/>
        </w:rPr>
      </w:pPr>
      <w:r w:rsidRPr="00C32F28">
        <w:rPr>
          <w:rStyle w:val="Appelnotedebasdep"/>
          <w:lang w:val="fr-BE"/>
        </w:rPr>
        <w:footnoteRef/>
      </w:r>
      <w:r w:rsidRPr="00C32F28">
        <w:rPr>
          <w:lang w:val="fr-BE"/>
        </w:rPr>
        <w:t xml:space="preserve"> DELCAMP A., </w:t>
      </w:r>
      <w:r w:rsidRPr="00C32F28">
        <w:rPr>
          <w:i/>
          <w:lang w:val="fr-BE"/>
        </w:rPr>
        <w:t>Les institutions de Bruxelles</w:t>
      </w:r>
      <w:r w:rsidRPr="00C32F28">
        <w:rPr>
          <w:lang w:val="fr-BE"/>
        </w:rPr>
        <w:t>, Collection de la faculté de Droit, Université libre de Bruxelles, Bruylant, Bruxelles, 1993.</w:t>
      </w:r>
    </w:p>
  </w:footnote>
  <w:footnote w:id="42">
    <w:p w14:paraId="7BE4B59A" w14:textId="2D00DBAD" w:rsidR="00981B29" w:rsidRPr="00981B29" w:rsidRDefault="00981B29">
      <w:pPr>
        <w:pStyle w:val="Notedebasdepage"/>
        <w:rPr>
          <w:lang w:val="fr-BE"/>
        </w:rPr>
      </w:pPr>
      <w:r>
        <w:rPr>
          <w:rStyle w:val="Appelnotedebasdep"/>
        </w:rPr>
        <w:footnoteRef/>
      </w:r>
      <w:r>
        <w:t xml:space="preserve"> </w:t>
      </w:r>
      <w:r w:rsidRPr="00981B29">
        <w:rPr>
          <w:lang w:val="fr-BE"/>
        </w:rPr>
        <w:t xml:space="preserve">Cependant, vu les conditions de mise en œuvre de cette autonomie, les </w:t>
      </w:r>
      <w:r w:rsidRPr="00981B29">
        <w:rPr>
          <w:rFonts w:asciiTheme="majorBidi" w:hAnsiTheme="majorBidi" w:cstheme="majorBidi"/>
          <w:lang w:val="fr-BE"/>
        </w:rPr>
        <w:t>Régions n’ont pas pu faire usage de cette compétence fiscale. Il faudra attendre la loi du 13 juillet 2001 pour préciser les limites des compétences des Régions en matière d’IPP</w:t>
      </w:r>
      <w:r w:rsidR="00481BCA">
        <w:rPr>
          <w:rFonts w:asciiTheme="majorBidi" w:hAnsiTheme="majorBidi" w:cstheme="majorBidi"/>
          <w:lang w:val="fr-BE"/>
        </w:rPr>
        <w:t xml:space="preserve"> et ainsi permettre leur mise en œuvre.</w:t>
      </w:r>
    </w:p>
  </w:footnote>
  <w:footnote w:id="43">
    <w:p w14:paraId="091D7182" w14:textId="77777777" w:rsidR="00981B29" w:rsidRPr="00C34C2D" w:rsidRDefault="00981B29" w:rsidP="00981B29">
      <w:pPr>
        <w:pStyle w:val="Notedebasdepage"/>
        <w:jc w:val="left"/>
        <w:rPr>
          <w:rFonts w:asciiTheme="majorBidi" w:hAnsiTheme="majorBidi" w:cstheme="majorBidi"/>
          <w:sz w:val="16"/>
          <w:szCs w:val="16"/>
          <w:lang w:val="fr-BE"/>
        </w:rPr>
      </w:pPr>
      <w:r w:rsidRPr="00C34C2D">
        <w:rPr>
          <w:rStyle w:val="Appelnotedebasdep"/>
          <w:rFonts w:asciiTheme="majorBidi" w:hAnsiTheme="majorBidi" w:cstheme="majorBidi"/>
          <w:sz w:val="16"/>
          <w:szCs w:val="16"/>
        </w:rPr>
        <w:footnoteRef/>
      </w:r>
      <w:r w:rsidRPr="00C34C2D">
        <w:rPr>
          <w:rFonts w:asciiTheme="majorBidi" w:hAnsiTheme="majorBidi" w:cstheme="majorBidi"/>
          <w:sz w:val="16"/>
          <w:szCs w:val="16"/>
          <w:lang w:val="fr-FR"/>
        </w:rPr>
        <w:t xml:space="preserve"> Loi du 23 janvier 1989 relative à la compétence fiscale visée à l’article 110 de la Constitution (</w:t>
      </w:r>
      <w:r w:rsidRPr="00C34C2D">
        <w:rPr>
          <w:rFonts w:asciiTheme="majorBidi" w:hAnsiTheme="majorBidi" w:cstheme="majorBidi"/>
          <w:i/>
          <w:sz w:val="16"/>
          <w:szCs w:val="16"/>
          <w:lang w:val="fr-FR"/>
        </w:rPr>
        <w:t>Moniteur belge</w:t>
      </w:r>
      <w:r w:rsidRPr="00C34C2D">
        <w:rPr>
          <w:rFonts w:asciiTheme="majorBidi" w:hAnsiTheme="majorBidi" w:cstheme="majorBidi"/>
          <w:sz w:val="16"/>
          <w:szCs w:val="16"/>
          <w:lang w:val="fr-FR"/>
        </w:rPr>
        <w:t>, 24 janvier 1989).</w:t>
      </w:r>
    </w:p>
  </w:footnote>
  <w:footnote w:id="44">
    <w:p w14:paraId="0704BBDE" w14:textId="77777777" w:rsidR="001534E4" w:rsidRPr="00C32F28" w:rsidRDefault="001534E4" w:rsidP="001534E4">
      <w:pPr>
        <w:pStyle w:val="Notedebasdepage"/>
        <w:rPr>
          <w:lang w:val="fr-BE"/>
        </w:rPr>
      </w:pPr>
      <w:r w:rsidRPr="00C32F28">
        <w:rPr>
          <w:rStyle w:val="Appelnotedebasdep"/>
          <w:lang w:val="fr-BE"/>
        </w:rPr>
        <w:footnoteRef/>
      </w:r>
      <w:r w:rsidRPr="00C32F28">
        <w:rPr>
          <w:lang w:val="fr-BE"/>
        </w:rPr>
        <w:t xml:space="preserve"> Loi spéciale du 12 janvier 1989 relative aux institutions bruxelloises (</w:t>
      </w:r>
      <w:r w:rsidRPr="00C32F28">
        <w:rPr>
          <w:i/>
          <w:lang w:val="fr-BE"/>
        </w:rPr>
        <w:t>M.B.,</w:t>
      </w:r>
      <w:r w:rsidRPr="00C32F28">
        <w:rPr>
          <w:lang w:val="fr-BE"/>
        </w:rPr>
        <w:t xml:space="preserve"> 14 janvier 1989, </w:t>
      </w:r>
      <w:proofErr w:type="spellStart"/>
      <w:r w:rsidRPr="00C32F28">
        <w:rPr>
          <w:lang w:val="fr-BE"/>
        </w:rPr>
        <w:t>err</w:t>
      </w:r>
      <w:proofErr w:type="spellEnd"/>
      <w:r w:rsidRPr="00C32F28">
        <w:rPr>
          <w:lang w:val="fr-BE"/>
        </w:rPr>
        <w:t xml:space="preserve">. </w:t>
      </w:r>
      <w:r w:rsidRPr="00C32F28">
        <w:rPr>
          <w:i/>
          <w:lang w:val="fr-BE"/>
        </w:rPr>
        <w:t>M.B.,</w:t>
      </w:r>
      <w:r w:rsidRPr="00C32F28">
        <w:rPr>
          <w:lang w:val="fr-BE"/>
        </w:rPr>
        <w:t xml:space="preserve"> 16 mars 1989). </w:t>
      </w:r>
    </w:p>
  </w:footnote>
  <w:footnote w:id="45">
    <w:p w14:paraId="5BA7D657" w14:textId="77777777" w:rsidR="001534E4" w:rsidRPr="00C32F28" w:rsidRDefault="001534E4" w:rsidP="001534E4">
      <w:pPr>
        <w:pStyle w:val="Notedebasdepage"/>
        <w:rPr>
          <w:lang w:val="fr-BE"/>
        </w:rPr>
      </w:pPr>
      <w:r w:rsidRPr="00C32F28">
        <w:rPr>
          <w:rStyle w:val="Appelnotedebasdep"/>
          <w:lang w:val="fr-BE"/>
        </w:rPr>
        <w:footnoteRef/>
      </w:r>
      <w:r w:rsidRPr="00C32F28">
        <w:rPr>
          <w:lang w:val="fr-BE"/>
        </w:rPr>
        <w:t xml:space="preserve"> Pour une analyse plus détaillée voir P. DE BRUYCKER, « Bruxelles dans la Réforme de l’Etat », </w:t>
      </w:r>
      <w:r w:rsidRPr="00C32F28">
        <w:rPr>
          <w:i/>
          <w:lang w:val="fr-BE"/>
        </w:rPr>
        <w:t>Courrier hebdomadaire du CRISP,</w:t>
      </w:r>
      <w:r w:rsidRPr="00C32F28">
        <w:rPr>
          <w:lang w:val="fr-BE"/>
        </w:rPr>
        <w:t xml:space="preserve"> n°1230-1231, 1989 ; S. LOUMAYE, « Les nouvelles institutions bruxelloises », </w:t>
      </w:r>
      <w:r w:rsidRPr="00C32F28">
        <w:rPr>
          <w:i/>
          <w:lang w:val="fr-BE"/>
        </w:rPr>
        <w:t>Courrier hebdomadaire du CRISP</w:t>
      </w:r>
      <w:r w:rsidRPr="00C32F28">
        <w:rPr>
          <w:lang w:val="fr-BE"/>
        </w:rPr>
        <w:t>, n°1253-1254, 1989.</w:t>
      </w:r>
    </w:p>
  </w:footnote>
  <w:footnote w:id="46">
    <w:p w14:paraId="1867FA69" w14:textId="0743012B" w:rsidR="006122F6" w:rsidRPr="00C32F28" w:rsidRDefault="006122F6">
      <w:pPr>
        <w:pStyle w:val="Notedebasdepage"/>
        <w:rPr>
          <w:lang w:val="fr-BE"/>
        </w:rPr>
      </w:pPr>
      <w:r w:rsidRPr="00C32F28">
        <w:rPr>
          <w:rStyle w:val="Appelnotedebasdep"/>
        </w:rPr>
        <w:footnoteRef/>
      </w:r>
      <w:r w:rsidRPr="00E321E2">
        <w:rPr>
          <w:lang w:val="fr-BE"/>
        </w:rPr>
        <w:t xml:space="preserve"> </w:t>
      </w:r>
      <w:r w:rsidR="00131EE1" w:rsidRPr="00C32F28">
        <w:rPr>
          <w:lang w:val="fr-BE"/>
        </w:rPr>
        <w:t>L</w:t>
      </w:r>
      <w:r w:rsidRPr="00C32F28">
        <w:rPr>
          <w:lang w:val="fr-BE"/>
        </w:rPr>
        <w:t>a fixation des limites régionales aux 19 communes de l'arrondissement administratif de Bruxelles, la modification de l'appellation en Région de Bruxelles-Capitale et la protection de la minorité flamande.</w:t>
      </w:r>
    </w:p>
  </w:footnote>
  <w:footnote w:id="47">
    <w:p w14:paraId="47E9C77E" w14:textId="4333B2B3" w:rsidR="006122F6" w:rsidRPr="00C32F28" w:rsidRDefault="006122F6">
      <w:pPr>
        <w:pStyle w:val="Notedebasdepage"/>
        <w:rPr>
          <w:lang w:val="fr-BE"/>
        </w:rPr>
      </w:pPr>
      <w:r w:rsidRPr="00C32F28">
        <w:rPr>
          <w:rStyle w:val="Appelnotedebasdep"/>
          <w:lang w:val="fr-BE"/>
        </w:rPr>
        <w:footnoteRef/>
      </w:r>
      <w:r w:rsidRPr="00C32F28">
        <w:rPr>
          <w:lang w:val="fr-BE"/>
        </w:rPr>
        <w:t xml:space="preserve"> </w:t>
      </w:r>
      <w:r w:rsidR="00273637">
        <w:rPr>
          <w:lang w:val="fr-BE"/>
        </w:rPr>
        <w:t>D</w:t>
      </w:r>
      <w:r w:rsidRPr="00C32F28">
        <w:rPr>
          <w:lang w:val="fr-BE"/>
        </w:rPr>
        <w:t>’une part, par les cours et tribunaux qui peuvent vérifier la conformité de l’ordonnance à la Constitution et à la loi spéciale du 12 janvier 1989 relative aux institutions bruxelloises (sous les réserves indiquées par l’art. 9 de la loi spéciale du 12 janvier 1989) ; d’autre part, par l’autorité fédérale en vue de préserver le rôle international et la fonction de capitale de Bruxelles pour les ordonnances relatives à l’urbanisme et à l’aménagement du territoire ainsi qu’aux travaux publics et au transport (art. 45. de la loi spéciale du 12 janvier 1989)</w:t>
      </w:r>
      <w:r w:rsidR="009E4647" w:rsidRPr="00C32F28">
        <w:rPr>
          <w:lang w:val="fr-BE"/>
        </w:rPr>
        <w:t>.</w:t>
      </w:r>
    </w:p>
  </w:footnote>
  <w:footnote w:id="48">
    <w:p w14:paraId="5E06E2CE" w14:textId="4DC2DBCD" w:rsidR="00131EE1" w:rsidRPr="00E321E2" w:rsidRDefault="00131EE1" w:rsidP="00131EE1">
      <w:pPr>
        <w:pStyle w:val="rtejustify"/>
        <w:shd w:val="clear" w:color="auto" w:fill="FFFFFF"/>
        <w:spacing w:before="0" w:beforeAutospacing="0" w:after="0" w:afterAutospacing="0"/>
        <w:jc w:val="both"/>
        <w:rPr>
          <w:sz w:val="20"/>
          <w:szCs w:val="20"/>
        </w:rPr>
      </w:pPr>
      <w:r w:rsidRPr="00E321E2">
        <w:rPr>
          <w:rStyle w:val="Appelnotedebasdep"/>
          <w:sz w:val="20"/>
          <w:szCs w:val="20"/>
        </w:rPr>
        <w:footnoteRef/>
      </w:r>
      <w:r w:rsidR="00273637">
        <w:rPr>
          <w:sz w:val="20"/>
          <w:szCs w:val="20"/>
        </w:rPr>
        <w:t xml:space="preserve"> </w:t>
      </w:r>
      <w:r w:rsidR="009462FC">
        <w:rPr>
          <w:sz w:val="20"/>
          <w:szCs w:val="20"/>
        </w:rPr>
        <w:t>Ce qui pouvait bloquer le fonctionnement des institutions. Depuis la réforme institutionnelle de 2001, s</w:t>
      </w:r>
      <w:r w:rsidRPr="00C32F28">
        <w:rPr>
          <w:sz w:val="20"/>
          <w:szCs w:val="20"/>
        </w:rPr>
        <w:t>i cette majorité n'est pas réunie dans un groupe linguistique, il est procédé à un second vote, dans un délai de minimum trente jours après le premier vote. Dans ce cas, l'ordonnance est prise à la majorité absolue des suffrages de l'Assemblée réunie et par au moins un tiers des suffrages dans chaque groupe linguistique.</w:t>
      </w:r>
    </w:p>
  </w:footnote>
  <w:footnote w:id="49">
    <w:p w14:paraId="5ED919CA" w14:textId="2484E017" w:rsidR="001D630F" w:rsidRPr="001D630F" w:rsidRDefault="001D630F">
      <w:pPr>
        <w:pStyle w:val="Notedebasdepage"/>
        <w:rPr>
          <w:lang w:val="fr-BE"/>
        </w:rPr>
      </w:pPr>
      <w:r>
        <w:rPr>
          <w:rStyle w:val="Appelnotedebasdep"/>
        </w:rPr>
        <w:footnoteRef/>
      </w:r>
      <w:r w:rsidRPr="00804DBF">
        <w:rPr>
          <w:lang w:val="fr-BE"/>
        </w:rPr>
        <w:t xml:space="preserve"> </w:t>
      </w:r>
      <w:r>
        <w:rPr>
          <w:lang w:val="fr-BE"/>
        </w:rPr>
        <w:t xml:space="preserve">J.P. NASSAUX, </w:t>
      </w:r>
      <w:r w:rsidRPr="001D630F">
        <w:rPr>
          <w:i/>
          <w:iCs/>
          <w:lang w:val="fr-BE"/>
        </w:rPr>
        <w:t>Les relations communautaires à l’Assemblée réunie de la Commission communautaire commune </w:t>
      </w:r>
      <w:r>
        <w:rPr>
          <w:lang w:val="fr-BE"/>
        </w:rPr>
        <w:t>, Courrier Hebdomadaire du CRISP, n°1633-1634, 1999.</w:t>
      </w:r>
    </w:p>
  </w:footnote>
  <w:footnote w:id="50">
    <w:p w14:paraId="19AA39AE" w14:textId="7B6EEB22" w:rsidR="00D6591B" w:rsidRPr="00C32F28" w:rsidRDefault="00D6591B" w:rsidP="00D6591B">
      <w:pPr>
        <w:pStyle w:val="Notedebasdepage"/>
        <w:rPr>
          <w:lang w:val="fr-BE"/>
        </w:rPr>
      </w:pPr>
      <w:r w:rsidRPr="00C32F28">
        <w:rPr>
          <w:rStyle w:val="Appelnotedebasdep"/>
        </w:rPr>
        <w:footnoteRef/>
      </w:r>
      <w:r w:rsidRPr="00E321E2">
        <w:rPr>
          <w:lang w:val="fr-BE"/>
        </w:rPr>
        <w:t xml:space="preserve"> </w:t>
      </w:r>
      <w:r w:rsidRPr="00C32F28">
        <w:rPr>
          <w:lang w:val="fr-BE"/>
        </w:rPr>
        <w:t xml:space="preserve">LOUMAYE S., </w:t>
      </w:r>
      <w:r w:rsidRPr="00C32F28">
        <w:rPr>
          <w:i/>
          <w:iCs/>
          <w:lang w:val="fr-BE"/>
        </w:rPr>
        <w:t>Les nouvelles institutions bruxelloises</w:t>
      </w:r>
      <w:r w:rsidRPr="00C32F28">
        <w:rPr>
          <w:lang w:val="fr-BE"/>
        </w:rPr>
        <w:t>, Courrier hebdomadaire du CRISP, 1232 -1233, 1989.</w:t>
      </w:r>
    </w:p>
  </w:footnote>
  <w:footnote w:id="51">
    <w:p w14:paraId="1010F1C3" w14:textId="37702F25" w:rsidR="001A1730" w:rsidRPr="001A1730" w:rsidRDefault="001A1730">
      <w:pPr>
        <w:pStyle w:val="Notedebasdepage"/>
        <w:rPr>
          <w:lang w:val="fr-BE"/>
        </w:rPr>
      </w:pPr>
      <w:r>
        <w:rPr>
          <w:rStyle w:val="Appelnotedebasdep"/>
        </w:rPr>
        <w:footnoteRef/>
      </w:r>
      <w:r>
        <w:t xml:space="preserve"> </w:t>
      </w:r>
      <w:r>
        <w:rPr>
          <w:lang w:val="fr-BE"/>
        </w:rPr>
        <w:t>NASSAUX, 2018.</w:t>
      </w:r>
    </w:p>
  </w:footnote>
  <w:footnote w:id="52">
    <w:p w14:paraId="3E2EF0C1" w14:textId="43AFFF41" w:rsidR="004D2307" w:rsidRPr="00C32F28" w:rsidRDefault="004D2307" w:rsidP="004D2307">
      <w:pPr>
        <w:pStyle w:val="Notedebasdepage"/>
        <w:rPr>
          <w:lang w:val="fr-BE"/>
        </w:rPr>
      </w:pPr>
      <w:r w:rsidRPr="00C32F28">
        <w:rPr>
          <w:rStyle w:val="Appelnotedebasdep"/>
        </w:rPr>
        <w:footnoteRef/>
      </w:r>
      <w:r w:rsidRPr="00C32F28">
        <w:rPr>
          <w:lang w:val="fr-BE"/>
        </w:rPr>
        <w:t xml:space="preserve"> W. DEWACHTER, « La Belgique d’aujourd’hui comme société politique » in </w:t>
      </w:r>
      <w:r w:rsidRPr="00C32F28">
        <w:rPr>
          <w:i/>
          <w:lang w:val="fr-BE"/>
        </w:rPr>
        <w:t>La Belgique, La force de la désunion</w:t>
      </w:r>
      <w:r w:rsidRPr="00C32F28">
        <w:rPr>
          <w:lang w:val="fr-BE"/>
        </w:rPr>
        <w:t>, Espace international, Editions Complexe, 1996.</w:t>
      </w:r>
    </w:p>
  </w:footnote>
  <w:footnote w:id="53">
    <w:p w14:paraId="02628C16" w14:textId="1FCE3BAE" w:rsidR="00AF09B9" w:rsidRPr="00C32F28" w:rsidRDefault="00AF09B9">
      <w:pPr>
        <w:pStyle w:val="Notedebasdepage"/>
        <w:rPr>
          <w:lang w:val="fr-BE"/>
        </w:rPr>
      </w:pPr>
      <w:r w:rsidRPr="00C32F28">
        <w:rPr>
          <w:rStyle w:val="Appelnotedebasdep"/>
        </w:rPr>
        <w:footnoteRef/>
      </w:r>
      <w:r w:rsidRPr="00E321E2">
        <w:rPr>
          <w:lang w:val="fr-BE"/>
        </w:rPr>
        <w:t xml:space="preserve"> </w:t>
      </w:r>
      <w:r w:rsidRPr="00C32F28">
        <w:rPr>
          <w:lang w:val="fr-BE"/>
        </w:rPr>
        <w:t xml:space="preserve">R. ERGEC, « Le paysage institutionnel après la quatrième réforme de l’Etat », </w:t>
      </w:r>
      <w:r w:rsidRPr="00C32F28">
        <w:rPr>
          <w:i/>
          <w:iCs/>
          <w:lang w:val="fr-BE"/>
        </w:rPr>
        <w:t>Revue belge de droit international</w:t>
      </w:r>
      <w:r w:rsidRPr="00C32F28">
        <w:rPr>
          <w:lang w:val="fr-BE"/>
        </w:rPr>
        <w:t>, 1994/1</w:t>
      </w:r>
      <w:r w:rsidR="00874B2C" w:rsidRPr="00C32F28">
        <w:rPr>
          <w:lang w:val="fr-BE"/>
        </w:rPr>
        <w:t>.</w:t>
      </w:r>
    </w:p>
  </w:footnote>
  <w:footnote w:id="54">
    <w:p w14:paraId="1BB55F79" w14:textId="2166C0A6" w:rsidR="0034029A" w:rsidRPr="00C32F28" w:rsidRDefault="0034029A">
      <w:pPr>
        <w:pStyle w:val="Notedebasdepage"/>
        <w:rPr>
          <w:lang w:val="fr-BE"/>
        </w:rPr>
      </w:pPr>
      <w:r w:rsidRPr="00C32F28">
        <w:rPr>
          <w:rStyle w:val="Appelnotedebasdep"/>
        </w:rPr>
        <w:footnoteRef/>
      </w:r>
      <w:r w:rsidRPr="00E321E2">
        <w:rPr>
          <w:lang w:val="fr-BE"/>
        </w:rPr>
        <w:t xml:space="preserve"> </w:t>
      </w:r>
      <w:r w:rsidRPr="00C32F28">
        <w:rPr>
          <w:lang w:val="fr-BE"/>
        </w:rPr>
        <w:t>Lois spéciale et ordinaire du 13 juillet 2001.</w:t>
      </w:r>
    </w:p>
  </w:footnote>
  <w:footnote w:id="55">
    <w:p w14:paraId="2897AAE4" w14:textId="3214D23E" w:rsidR="0066081E" w:rsidRPr="00C32F28" w:rsidRDefault="0066081E">
      <w:pPr>
        <w:pStyle w:val="Notedebasdepage"/>
        <w:rPr>
          <w:lang w:val="fr-BE"/>
        </w:rPr>
      </w:pPr>
      <w:r w:rsidRPr="00C32F28">
        <w:rPr>
          <w:rStyle w:val="Appelnotedebasdep"/>
        </w:rPr>
        <w:footnoteRef/>
      </w:r>
      <w:r w:rsidRPr="00E321E2">
        <w:rPr>
          <w:lang w:val="fr-BE"/>
        </w:rPr>
        <w:t xml:space="preserve"> </w:t>
      </w:r>
      <w:r w:rsidRPr="00C32F28">
        <w:rPr>
          <w:lang w:val="fr-BE"/>
        </w:rPr>
        <w:t>Soit un montant estimé à moins de 100 millions</w:t>
      </w:r>
      <w:r w:rsidR="006A4D9B">
        <w:rPr>
          <w:lang w:val="fr-BE"/>
        </w:rPr>
        <w:t xml:space="preserve"> €</w:t>
      </w:r>
      <w:r w:rsidRPr="00C32F28">
        <w:rPr>
          <w:lang w:val="fr-BE"/>
        </w:rPr>
        <w:t xml:space="preserve"> en 2002</w:t>
      </w:r>
      <w:r w:rsidR="006B5583" w:rsidRPr="00C32F28">
        <w:rPr>
          <w:lang w:val="fr-BE"/>
        </w:rPr>
        <w:t>.</w:t>
      </w:r>
    </w:p>
  </w:footnote>
  <w:footnote w:id="56">
    <w:p w14:paraId="30571910" w14:textId="244F8E7E" w:rsidR="00E767CC" w:rsidRPr="00E767CC" w:rsidRDefault="00E767CC">
      <w:pPr>
        <w:pStyle w:val="Notedebasdepage"/>
        <w:rPr>
          <w:lang w:val="fr-BE"/>
        </w:rPr>
      </w:pPr>
      <w:r w:rsidRPr="006A4D9B">
        <w:rPr>
          <w:rStyle w:val="Appelnotedebasdep"/>
          <w:lang w:val="fr-BE"/>
        </w:rPr>
        <w:footnoteRef/>
      </w:r>
      <w:r w:rsidRPr="006A4D9B">
        <w:rPr>
          <w:lang w:val="fr-BE"/>
        </w:rPr>
        <w:t xml:space="preserve"> Pour une analyse voir notamment BAYENET B., GASSNER M., LENTZEN E. et THYS-CLEMENT F., « Les conséquences électorales de l’accord du Lombard sur les institutions communautaires et régionales belges »,</w:t>
      </w:r>
      <w:r w:rsidRPr="00804DBF">
        <w:rPr>
          <w:lang w:val="fr-BE"/>
        </w:rPr>
        <w:t xml:space="preserve"> </w:t>
      </w:r>
      <w:r w:rsidRPr="006A4D9B">
        <w:rPr>
          <w:i/>
          <w:lang w:val="fr-BE"/>
        </w:rPr>
        <w:t xml:space="preserve">Cahiers du </w:t>
      </w:r>
      <w:proofErr w:type="spellStart"/>
      <w:r w:rsidRPr="006A4D9B">
        <w:rPr>
          <w:i/>
          <w:lang w:val="fr-BE"/>
        </w:rPr>
        <w:t>Cevipol</w:t>
      </w:r>
      <w:proofErr w:type="spellEnd"/>
      <w:r w:rsidRPr="006A4D9B">
        <w:rPr>
          <w:lang w:val="fr-BE"/>
        </w:rPr>
        <w:t>, ULB, 2002</w:t>
      </w:r>
      <w:r w:rsidR="004618C0" w:rsidRPr="006A4D9B">
        <w:rPr>
          <w:lang w:val="fr-BE"/>
        </w:rPr>
        <w:t xml:space="preserve"> et J.-P. NASSAUX, </w:t>
      </w:r>
      <w:r w:rsidR="004618C0" w:rsidRPr="006A4D9B">
        <w:rPr>
          <w:i/>
          <w:iCs/>
          <w:lang w:val="fr-BE"/>
        </w:rPr>
        <w:t>Le groupe de travail sur le fonctionnement des institutions bruxelloises</w:t>
      </w:r>
      <w:r w:rsidR="004618C0" w:rsidRPr="006A4D9B">
        <w:rPr>
          <w:lang w:val="fr-BE"/>
        </w:rPr>
        <w:t>, Courrier hebdomadaire du CRISP, 1716-1717, 2001</w:t>
      </w:r>
      <w:r w:rsidR="004618C0" w:rsidRPr="00804DBF">
        <w:rPr>
          <w:lang w:val="fr-BE"/>
        </w:rPr>
        <w:t>.</w:t>
      </w:r>
    </w:p>
  </w:footnote>
  <w:footnote w:id="57">
    <w:p w14:paraId="7C16F204" w14:textId="3C21F141" w:rsidR="00C90E59" w:rsidRPr="00C90E59" w:rsidRDefault="00C90E59">
      <w:pPr>
        <w:pStyle w:val="Notedebasdepage"/>
        <w:rPr>
          <w:lang w:val="fr-BE"/>
        </w:rPr>
      </w:pPr>
      <w:r>
        <w:rPr>
          <w:rStyle w:val="Appelnotedebasdep"/>
        </w:rPr>
        <w:footnoteRef/>
      </w:r>
      <w:r w:rsidRPr="00804DBF">
        <w:rPr>
          <w:lang w:val="fr-BE"/>
        </w:rPr>
        <w:t xml:space="preserve"> </w:t>
      </w:r>
      <w:r>
        <w:rPr>
          <w:lang w:val="fr-BE"/>
        </w:rPr>
        <w:t xml:space="preserve">X. MABILLE, « Le fait institutionnel bruxellois », </w:t>
      </w:r>
      <w:r w:rsidRPr="00E767CC">
        <w:rPr>
          <w:i/>
          <w:iCs/>
          <w:lang w:val="fr-BE"/>
        </w:rPr>
        <w:t>Bruxelles dans 20 ans</w:t>
      </w:r>
      <w:r>
        <w:rPr>
          <w:lang w:val="fr-BE"/>
        </w:rPr>
        <w:t>, Agence de développement territorial</w:t>
      </w:r>
      <w:r w:rsidR="00E767CC">
        <w:rPr>
          <w:lang w:val="fr-BE"/>
        </w:rPr>
        <w:t xml:space="preserve">, Bruxelles, 2009. </w:t>
      </w:r>
    </w:p>
  </w:footnote>
  <w:footnote w:id="58">
    <w:p w14:paraId="1BF0498C" w14:textId="385633F9" w:rsidR="009851FA" w:rsidRPr="009851FA" w:rsidRDefault="009851FA">
      <w:pPr>
        <w:pStyle w:val="Notedebasdepage"/>
        <w:rPr>
          <w:lang w:val="fr-BE"/>
        </w:rPr>
      </w:pPr>
      <w:r>
        <w:rPr>
          <w:rStyle w:val="Appelnotedebasdep"/>
        </w:rPr>
        <w:footnoteRef/>
      </w:r>
      <w:r>
        <w:t xml:space="preserve"> </w:t>
      </w:r>
      <w:r>
        <w:rPr>
          <w:lang w:val="fr-FR" w:bidi="he-IL"/>
        </w:rPr>
        <w:t>BAYENET et al, 2017</w:t>
      </w:r>
    </w:p>
  </w:footnote>
  <w:footnote w:id="59">
    <w:p w14:paraId="614FD8BE" w14:textId="77777777" w:rsidR="00B52242" w:rsidRPr="00E321E2" w:rsidRDefault="00B52242" w:rsidP="00B52242">
      <w:pPr>
        <w:pStyle w:val="Notedebasdepage"/>
        <w:rPr>
          <w:lang w:val="fr-BE"/>
        </w:rPr>
      </w:pPr>
      <w:r w:rsidRPr="00C32F28">
        <w:rPr>
          <w:rStyle w:val="Appelnotedebasdep"/>
        </w:rPr>
        <w:footnoteRef/>
      </w:r>
      <w:r w:rsidRPr="00E321E2">
        <w:rPr>
          <w:lang w:val="fr-BE"/>
        </w:rPr>
        <w:t xml:space="preserve"> Pour une analyse, </w:t>
      </w:r>
      <w:proofErr w:type="spellStart"/>
      <w:r w:rsidRPr="00E321E2">
        <w:rPr>
          <w:lang w:val="fr-BE"/>
        </w:rPr>
        <w:t>voy</w:t>
      </w:r>
      <w:proofErr w:type="spellEnd"/>
      <w:r w:rsidRPr="00E321E2">
        <w:rPr>
          <w:lang w:val="fr-BE"/>
        </w:rPr>
        <w:t xml:space="preserve">. notamment le numéro spécial de la revue belge de Sécurité sociale, </w:t>
      </w:r>
      <w:r w:rsidRPr="00E321E2">
        <w:rPr>
          <w:i/>
          <w:lang w:val="fr-BE"/>
        </w:rPr>
        <w:t>L’impact de la sixième réforme de l’Etat sur la sécurité sociale et le marché du travail : regards de juristes</w:t>
      </w:r>
      <w:r w:rsidRPr="00E321E2">
        <w:rPr>
          <w:lang w:val="fr-BE"/>
        </w:rPr>
        <w:t>, sous la direction de D. DUMONT, 2</w:t>
      </w:r>
      <w:r w:rsidRPr="00E321E2">
        <w:rPr>
          <w:vertAlign w:val="superscript"/>
          <w:lang w:val="fr-BE"/>
        </w:rPr>
        <w:t>ème</w:t>
      </w:r>
      <w:r w:rsidRPr="00E321E2">
        <w:rPr>
          <w:lang w:val="fr-BE"/>
        </w:rPr>
        <w:t xml:space="preserve"> trimestre 2015 ; </w:t>
      </w:r>
      <w:proofErr w:type="spellStart"/>
      <w:r w:rsidRPr="00E321E2">
        <w:rPr>
          <w:lang w:val="fr-BE"/>
        </w:rPr>
        <w:t>voy</w:t>
      </w:r>
      <w:proofErr w:type="spellEnd"/>
      <w:r w:rsidRPr="00E321E2">
        <w:rPr>
          <w:lang w:val="fr-BE"/>
        </w:rPr>
        <w:t>. aussi le numéro 2 du Bulletin de documentation du SPF Finances, 27</w:t>
      </w:r>
      <w:r w:rsidRPr="00E321E2">
        <w:rPr>
          <w:vertAlign w:val="superscript"/>
          <w:lang w:val="fr-BE"/>
        </w:rPr>
        <w:t>ème</w:t>
      </w:r>
      <w:r w:rsidRPr="00E321E2">
        <w:rPr>
          <w:lang w:val="fr-BE"/>
        </w:rPr>
        <w:t xml:space="preserve"> trimestre, 2013 ; </w:t>
      </w:r>
      <w:proofErr w:type="spellStart"/>
      <w:r w:rsidRPr="00E321E2">
        <w:rPr>
          <w:lang w:val="fr-BE"/>
        </w:rPr>
        <w:t>voy</w:t>
      </w:r>
      <w:proofErr w:type="spellEnd"/>
      <w:r w:rsidRPr="00E321E2">
        <w:rPr>
          <w:lang w:val="fr-BE"/>
        </w:rPr>
        <w:t xml:space="preserve">. encore CESW, </w:t>
      </w:r>
      <w:r w:rsidRPr="00E321E2">
        <w:rPr>
          <w:i/>
          <w:lang w:val="fr-BE"/>
        </w:rPr>
        <w:t>Les politiques d’emploi en Wallonie après la sixième réforme de l’Etat</w:t>
      </w:r>
      <w:r w:rsidRPr="00E321E2">
        <w:rPr>
          <w:lang w:val="fr-BE"/>
        </w:rPr>
        <w:t>, Dossiers du Conseil économique et social de Wallonie, Décembre 2015.</w:t>
      </w:r>
    </w:p>
  </w:footnote>
  <w:footnote w:id="60">
    <w:p w14:paraId="427B5074" w14:textId="77777777" w:rsidR="00B52242" w:rsidRPr="00C32F28" w:rsidRDefault="00B52242" w:rsidP="00B52242">
      <w:pPr>
        <w:pStyle w:val="Notedebasdepage"/>
        <w:rPr>
          <w:lang w:val="fr-BE"/>
        </w:rPr>
      </w:pPr>
      <w:r w:rsidRPr="00C32F28">
        <w:rPr>
          <w:rStyle w:val="Appelnotedebasdep"/>
        </w:rPr>
        <w:footnoteRef/>
      </w:r>
      <w:r w:rsidRPr="00C32F28">
        <w:rPr>
          <w:lang w:val="fr-BE"/>
        </w:rPr>
        <w:t xml:space="preserve"> Les réductions relatives aux groupes-cibles sont des réductions de cotisations patronales et personnelles qui visent certaines catégories de travailleurs : jeunes travailleurs, travailleurs âgés, demandeurs d’emploi de longue durée (Plan Activa et Activa APS, programmes de transition professionnelle et d’économie d’insertion sociale) et restructuration.</w:t>
      </w:r>
    </w:p>
  </w:footnote>
  <w:footnote w:id="61">
    <w:p w14:paraId="0FCA3CFF" w14:textId="77777777" w:rsidR="00B52242" w:rsidRPr="00C32F28" w:rsidRDefault="00B52242" w:rsidP="00B52242">
      <w:pPr>
        <w:pStyle w:val="Notedebasdepage"/>
        <w:rPr>
          <w:lang w:val="fr-BE"/>
        </w:rPr>
      </w:pPr>
      <w:r w:rsidRPr="00C32F28">
        <w:rPr>
          <w:rStyle w:val="Appelnotedebasdep"/>
        </w:rPr>
        <w:footnoteRef/>
      </w:r>
      <w:r w:rsidRPr="00C32F28">
        <w:rPr>
          <w:lang w:val="fr-BE"/>
        </w:rPr>
        <w:t xml:space="preserve"> Les réductions dites spécifiques consistent en des réductions ciblées sur certaines catégories de travailleurs ou d’employeurs (dragage en mer, personnel de maison, artistes, agents contractuels subventionnés, etc.).</w:t>
      </w:r>
    </w:p>
  </w:footnote>
  <w:footnote w:id="62">
    <w:p w14:paraId="5C92C7B8" w14:textId="77777777" w:rsidR="00B52242" w:rsidRPr="00C32F28" w:rsidRDefault="00B52242" w:rsidP="00B52242">
      <w:pPr>
        <w:pStyle w:val="Notedebasdepage"/>
        <w:rPr>
          <w:lang w:val="fr-BE"/>
        </w:rPr>
      </w:pPr>
      <w:r w:rsidRPr="00C32F28">
        <w:rPr>
          <w:rStyle w:val="Appelnotedebasdep"/>
        </w:rPr>
        <w:footnoteRef/>
      </w:r>
      <w:r w:rsidRPr="00C32F28">
        <w:rPr>
          <w:lang w:val="fr-BE"/>
        </w:rPr>
        <w:t xml:space="preserve"> Les mesures d’activation régionalisées sont celles qui sont ciblées sur les chômeurs de longue durée, les jeunes chômeurs et les chômeurs âgés, ainsi que le complément de garde d’enfants, le bonus démarrage et les allocations de formation.</w:t>
      </w:r>
    </w:p>
  </w:footnote>
  <w:footnote w:id="63">
    <w:p w14:paraId="00BF26F4" w14:textId="77777777" w:rsidR="00B52242" w:rsidRPr="00C32F28" w:rsidRDefault="00B52242" w:rsidP="00B52242">
      <w:pPr>
        <w:pStyle w:val="Notedebasdepage"/>
        <w:rPr>
          <w:lang w:val="fr-BE"/>
        </w:rPr>
      </w:pPr>
      <w:r w:rsidRPr="00C32F28">
        <w:rPr>
          <w:rStyle w:val="Appelnotedebasdep"/>
        </w:rPr>
        <w:footnoteRef/>
      </w:r>
      <w:r w:rsidRPr="00C32F28">
        <w:rPr>
          <w:lang w:val="fr-BE"/>
        </w:rPr>
        <w:t xml:space="preserve"> Les dépenses fiscales régionalisées feront l’objet de développements approfondis dans le cadre de l’analyse, sous le chapitre 4, de l’impôt des personnes physiques régionalisé. </w:t>
      </w:r>
    </w:p>
  </w:footnote>
  <w:footnote w:id="64">
    <w:p w14:paraId="1BDB4E01" w14:textId="0C779907" w:rsidR="00EC6DD1" w:rsidRPr="00E321E2" w:rsidRDefault="00EC6DD1" w:rsidP="00EC6DD1">
      <w:pPr>
        <w:pStyle w:val="Notedebasdepage"/>
        <w:rPr>
          <w:lang w:val="fr-BE"/>
        </w:rPr>
      </w:pPr>
      <w:r w:rsidRPr="00C32F28">
        <w:rPr>
          <w:rStyle w:val="Appelnotedebasdep"/>
        </w:rPr>
        <w:footnoteRef/>
      </w:r>
      <w:r w:rsidRPr="00E321E2">
        <w:rPr>
          <w:lang w:val="fr-BE"/>
        </w:rPr>
        <w:t xml:space="preserve"> P. BISCIARI, W. MELYN, L. VAN MEENSEL, « Perspectives relatives aux finances des Communautés et Régions », </w:t>
      </w:r>
      <w:r w:rsidRPr="00E321E2">
        <w:rPr>
          <w:rFonts w:eastAsia="PMingLiU"/>
          <w:lang w:val="fr-BE" w:eastAsia="zh-TW"/>
        </w:rPr>
        <w:t xml:space="preserve">Banque nationale de Belgique, </w:t>
      </w:r>
      <w:r w:rsidRPr="00E321E2">
        <w:rPr>
          <w:rFonts w:eastAsia="PMingLiU"/>
          <w:i/>
          <w:iCs/>
          <w:lang w:val="fr-BE" w:eastAsia="zh-TW"/>
        </w:rPr>
        <w:t>Revue économique</w:t>
      </w:r>
      <w:r w:rsidRPr="00E321E2">
        <w:rPr>
          <w:rFonts w:eastAsia="PMingLiU"/>
          <w:lang w:val="fr-BE" w:eastAsia="zh-TW"/>
        </w:rPr>
        <w:t>, septembre 2014.</w:t>
      </w:r>
    </w:p>
  </w:footnote>
  <w:footnote w:id="65">
    <w:p w14:paraId="63B9F6D0" w14:textId="77777777" w:rsidR="00865536" w:rsidRPr="00C32F28" w:rsidRDefault="00865536" w:rsidP="00865536">
      <w:pPr>
        <w:pStyle w:val="Notedebasdepage"/>
        <w:rPr>
          <w:lang w:val="fr-BE"/>
        </w:rPr>
      </w:pPr>
      <w:r w:rsidRPr="00C32F28">
        <w:rPr>
          <w:rStyle w:val="Appelnotedebasdep"/>
        </w:rPr>
        <w:footnoteRef/>
      </w:r>
      <w:r w:rsidRPr="00140790">
        <w:rPr>
          <w:lang w:val="fr-BE"/>
        </w:rPr>
        <w:t xml:space="preserve"> </w:t>
      </w:r>
      <w:r w:rsidRPr="00C32F28">
        <w:rPr>
          <w:lang w:val="fr-BE"/>
        </w:rPr>
        <w:t>Loi du 5 juillet 1979 modifiant la loi du 1</w:t>
      </w:r>
      <w:r w:rsidRPr="00C32F28">
        <w:rPr>
          <w:vertAlign w:val="superscript"/>
          <w:lang w:val="fr-BE"/>
        </w:rPr>
        <w:t>er</w:t>
      </w:r>
      <w:r w:rsidRPr="00C32F28">
        <w:rPr>
          <w:lang w:val="fr-BE"/>
        </w:rPr>
        <w:t xml:space="preserve"> août 1974 créant des institutions régionales à titre préparatoire à l’application de l’article 107 quater de la Constitution modifiée par la loi du 17 juillet 1977.</w:t>
      </w:r>
    </w:p>
  </w:footnote>
  <w:footnote w:id="66">
    <w:p w14:paraId="703E6EB7" w14:textId="5CA36075" w:rsidR="00865536" w:rsidRPr="00C32F28" w:rsidRDefault="00865536" w:rsidP="00865536">
      <w:pPr>
        <w:pStyle w:val="Notedebasdepage"/>
        <w:rPr>
          <w:lang w:val="fr-BE"/>
        </w:rPr>
      </w:pPr>
      <w:r w:rsidRPr="00C32F28">
        <w:rPr>
          <w:rStyle w:val="Appelnotedebasdep"/>
        </w:rPr>
        <w:footnoteRef/>
      </w:r>
      <w:r w:rsidRPr="00140790">
        <w:rPr>
          <w:lang w:val="fr-BE"/>
        </w:rPr>
        <w:t xml:space="preserve"> </w:t>
      </w:r>
      <w:r w:rsidR="00C91787" w:rsidRPr="00C32F28">
        <w:rPr>
          <w:lang w:val="fr-BE"/>
        </w:rPr>
        <w:t xml:space="preserve">BRASSINNE </w:t>
      </w:r>
      <w:r w:rsidRPr="00C32F28">
        <w:rPr>
          <w:lang w:val="fr-BE"/>
        </w:rPr>
        <w:t xml:space="preserve">J., </w:t>
      </w:r>
      <w:r w:rsidRPr="00C32F28">
        <w:rPr>
          <w:i/>
          <w:iCs/>
          <w:lang w:val="fr-BE"/>
        </w:rPr>
        <w:t>La réforme de l’Etat (II) : de la commission du Sénat au gouvernement Martens II du 24 octobre 1979 au 24 janvier 1980</w:t>
      </w:r>
      <w:r w:rsidRPr="00C32F28">
        <w:rPr>
          <w:lang w:val="fr-BE"/>
        </w:rPr>
        <w:t>, C</w:t>
      </w:r>
      <w:r w:rsidR="00C91787" w:rsidRPr="00C32F28">
        <w:rPr>
          <w:lang w:val="fr-BE"/>
        </w:rPr>
        <w:t xml:space="preserve">ourrier hebdomadaire </w:t>
      </w:r>
      <w:r w:rsidRPr="00C32F28">
        <w:rPr>
          <w:lang w:val="fr-BE"/>
        </w:rPr>
        <w:t>du C</w:t>
      </w:r>
      <w:r w:rsidR="00C91787" w:rsidRPr="00C32F28">
        <w:rPr>
          <w:lang w:val="fr-BE"/>
        </w:rPr>
        <w:t>RISP, n°</w:t>
      </w:r>
      <w:r w:rsidRPr="00C32F28">
        <w:rPr>
          <w:lang w:val="fr-BE"/>
        </w:rPr>
        <w:t xml:space="preserve"> 874-875 , 1980</w:t>
      </w:r>
      <w:r w:rsidR="00C91787" w:rsidRPr="00C32F28">
        <w:rPr>
          <w:lang w:val="fr-BE"/>
        </w:rPr>
        <w:t>.</w:t>
      </w:r>
    </w:p>
  </w:footnote>
  <w:footnote w:id="67">
    <w:p w14:paraId="32D0AB8D" w14:textId="77777777" w:rsidR="009F12D8" w:rsidRPr="00C32F28" w:rsidRDefault="009F12D8" w:rsidP="009F12D8">
      <w:pPr>
        <w:pStyle w:val="Notedebasdepage"/>
        <w:rPr>
          <w:lang w:val="fr-BE"/>
        </w:rPr>
      </w:pPr>
      <w:r w:rsidRPr="00C32F28">
        <w:rPr>
          <w:rStyle w:val="Appelnotedebasdep"/>
          <w:lang w:val="fr-BE"/>
        </w:rPr>
        <w:footnoteRef/>
      </w:r>
      <w:r w:rsidRPr="00C32F28">
        <w:rPr>
          <w:lang w:val="fr-BE"/>
        </w:rPr>
        <w:t xml:space="preserve"> R. ERGEC, « Fédéralisme à deux ou fédéralisme multipolaire ? », </w:t>
      </w:r>
      <w:r w:rsidRPr="00C32F28">
        <w:rPr>
          <w:i/>
          <w:lang w:val="fr-BE"/>
        </w:rPr>
        <w:t>Fédéralisme</w:t>
      </w:r>
      <w:r w:rsidRPr="00C32F28">
        <w:rPr>
          <w:lang w:val="fr-BE"/>
        </w:rPr>
        <w:t>, Revue du Centre d’Etudes du Fédéralisme, 1990, n°3, Bruxelles.</w:t>
      </w:r>
    </w:p>
  </w:footnote>
  <w:footnote w:id="68">
    <w:p w14:paraId="35817736" w14:textId="2B13075D" w:rsidR="00302A42" w:rsidRPr="00140790" w:rsidRDefault="00302A42">
      <w:pPr>
        <w:pStyle w:val="Notedebasdepage"/>
        <w:rPr>
          <w:lang w:val="fr-BE"/>
        </w:rPr>
      </w:pPr>
      <w:r w:rsidRPr="00C32F28">
        <w:rPr>
          <w:rStyle w:val="Appelnotedebasdep"/>
        </w:rPr>
        <w:footnoteRef/>
      </w:r>
      <w:r w:rsidRPr="00140790">
        <w:rPr>
          <w:lang w:val="fr-BE"/>
        </w:rPr>
        <w:t>Brochure de pr</w:t>
      </w:r>
      <w:r w:rsidR="00DC719E" w:rsidRPr="00C32F28">
        <w:rPr>
          <w:lang w:val="fr-BE"/>
        </w:rPr>
        <w:t>é</w:t>
      </w:r>
      <w:r w:rsidRPr="007E46E2">
        <w:rPr>
          <w:lang w:val="fr-BE"/>
        </w:rPr>
        <w:t xml:space="preserve">sentation du parlement flamand p.9 </w:t>
      </w:r>
      <w:hyperlink r:id="rId4" w:history="1">
        <w:r w:rsidRPr="00140790">
          <w:rPr>
            <w:rStyle w:val="Lienhypertexte"/>
            <w:lang w:val="fr-BE"/>
          </w:rPr>
          <w:t>https://docs.vlaamsparlement.be/docs/biblio/brochures/brochures%20te%20verwijderen/frans.pdf</w:t>
        </w:r>
      </w:hyperlink>
    </w:p>
  </w:footnote>
  <w:footnote w:id="69">
    <w:p w14:paraId="39A1106B" w14:textId="1AE2F36D" w:rsidR="005271C1" w:rsidRPr="00140790" w:rsidRDefault="005271C1" w:rsidP="00E85956">
      <w:pPr>
        <w:jc w:val="both"/>
        <w:rPr>
          <w:sz w:val="20"/>
        </w:rPr>
      </w:pPr>
      <w:r w:rsidRPr="00140790">
        <w:rPr>
          <w:rStyle w:val="Appelnotedebasdep"/>
          <w:sz w:val="20"/>
        </w:rPr>
        <w:footnoteRef/>
      </w:r>
      <w:r w:rsidRPr="00C32F28">
        <w:rPr>
          <w:sz w:val="20"/>
        </w:rPr>
        <w:t>Une manière d’approcher la répartition linguistique dans la Région de Bruxelles</w:t>
      </w:r>
      <w:r w:rsidR="00E85956">
        <w:rPr>
          <w:sz w:val="20"/>
        </w:rPr>
        <w:t>-</w:t>
      </w:r>
      <w:r w:rsidR="006E0693" w:rsidRPr="00C32F28">
        <w:rPr>
          <w:sz w:val="20"/>
        </w:rPr>
        <w:t>Capitale</w:t>
      </w:r>
      <w:r w:rsidRPr="00C32F28">
        <w:rPr>
          <w:sz w:val="20"/>
        </w:rPr>
        <w:t xml:space="preserve"> consiste à examiner les données sur les déclarations fiscales puisqu’elles sont envoyées par le SPF Finances soit en français soit en néerlandais à la demande des assujettis. Sur la base du dernier exercice fiscal, la répartition serait de 91,8%/8,2%.</w:t>
      </w:r>
    </w:p>
  </w:footnote>
  <w:footnote w:id="70">
    <w:p w14:paraId="70B5C3B4" w14:textId="5B84F4A8" w:rsidR="001F330E" w:rsidRPr="00C32F28" w:rsidRDefault="001F330E">
      <w:pPr>
        <w:pStyle w:val="Notedebasdepage"/>
        <w:rPr>
          <w:lang w:val="fr-BE"/>
        </w:rPr>
      </w:pPr>
      <w:r w:rsidRPr="00C32F28">
        <w:rPr>
          <w:rStyle w:val="Appelnotedebasdep"/>
        </w:rPr>
        <w:footnoteRef/>
      </w:r>
      <w:r w:rsidRPr="00140790">
        <w:rPr>
          <w:lang w:val="fr-BE"/>
        </w:rPr>
        <w:t xml:space="preserve"> </w:t>
      </w:r>
      <w:r w:rsidRPr="00C32F28">
        <w:rPr>
          <w:lang w:val="fr-BE"/>
        </w:rPr>
        <w:t>Avant la crise covid.</w:t>
      </w:r>
    </w:p>
  </w:footnote>
  <w:footnote w:id="71">
    <w:p w14:paraId="3C474687" w14:textId="0F577A90" w:rsidR="00E85956" w:rsidRPr="00E85956" w:rsidRDefault="00E85956">
      <w:pPr>
        <w:pStyle w:val="Notedebasdepage"/>
        <w:rPr>
          <w:lang w:val="fr-BE"/>
        </w:rPr>
      </w:pPr>
      <w:r>
        <w:rPr>
          <w:rStyle w:val="Appelnotedebasdep"/>
        </w:rPr>
        <w:footnoteRef/>
      </w:r>
      <w:r w:rsidRPr="00804DBF">
        <w:rPr>
          <w:lang w:val="fr-BE"/>
        </w:rPr>
        <w:t xml:space="preserve"> </w:t>
      </w:r>
      <w:r>
        <w:rPr>
          <w:lang w:val="fr-BE"/>
        </w:rPr>
        <w:t>Art. 1 §3 de la LSF.</w:t>
      </w:r>
    </w:p>
  </w:footnote>
  <w:footnote w:id="72">
    <w:p w14:paraId="66E60C76" w14:textId="7BB41256" w:rsidR="00D1218B" w:rsidRPr="00C32F28" w:rsidRDefault="00D1218B" w:rsidP="00D1218B">
      <w:pPr>
        <w:pStyle w:val="Notedebasdepage"/>
        <w:rPr>
          <w:lang w:val="fr-BE"/>
        </w:rPr>
      </w:pPr>
      <w:r w:rsidRPr="00C32F28">
        <w:rPr>
          <w:rStyle w:val="Appelnotedebasdep"/>
        </w:rPr>
        <w:footnoteRef/>
      </w:r>
      <w:r w:rsidRPr="00140790">
        <w:rPr>
          <w:lang w:val="fr-BE"/>
        </w:rPr>
        <w:t xml:space="preserve"> </w:t>
      </w:r>
      <w:r w:rsidRPr="00C32F28">
        <w:rPr>
          <w:lang w:val="fr-BE"/>
        </w:rPr>
        <w:t xml:space="preserve">N. RYELANDT, </w:t>
      </w:r>
      <w:r w:rsidRPr="00C32F28">
        <w:rPr>
          <w:i/>
          <w:iCs/>
          <w:lang w:val="fr-BE"/>
        </w:rPr>
        <w:t>Le groupe Wallonie-Bruxelles et le débat sur les institutions francophones</w:t>
      </w:r>
      <w:r w:rsidRPr="00C32F28">
        <w:rPr>
          <w:lang w:val="fr-BE"/>
        </w:rPr>
        <w:t>, Courrier hebdomadaire du CRISP, 2009-2010, 2009.</w:t>
      </w:r>
    </w:p>
  </w:footnote>
  <w:footnote w:id="73">
    <w:p w14:paraId="60A962B5" w14:textId="39EF8D41" w:rsidR="00B02E19" w:rsidRPr="00B02E19" w:rsidRDefault="00B02E19">
      <w:pPr>
        <w:pStyle w:val="Notedebasdepage"/>
        <w:rPr>
          <w:lang w:val="fr-BE"/>
        </w:rPr>
      </w:pPr>
      <w:r>
        <w:rPr>
          <w:rStyle w:val="Appelnotedebasdep"/>
        </w:rPr>
        <w:footnoteRef/>
      </w:r>
      <w:r w:rsidRPr="00804DBF">
        <w:rPr>
          <w:lang w:val="fr-BE"/>
        </w:rPr>
        <w:t xml:space="preserve"> </w:t>
      </w:r>
      <w:r>
        <w:rPr>
          <w:lang w:val="fr-BE"/>
        </w:rPr>
        <w:t>Ancien art. 1</w:t>
      </w:r>
      <w:r w:rsidRPr="00B02E19">
        <w:rPr>
          <w:vertAlign w:val="superscript"/>
          <w:lang w:val="fr-BE"/>
        </w:rPr>
        <w:t>er</w:t>
      </w:r>
      <w:r>
        <w:rPr>
          <w:lang w:val="fr-BE"/>
        </w:rPr>
        <w:t>, §4 de la LSRI.</w:t>
      </w:r>
    </w:p>
  </w:footnote>
  <w:footnote w:id="74">
    <w:p w14:paraId="4FD747E9" w14:textId="0A14CF9B" w:rsidR="00853889" w:rsidRPr="00567AFB" w:rsidRDefault="00853889" w:rsidP="00853889">
      <w:pPr>
        <w:pStyle w:val="Notedebasdepage"/>
        <w:rPr>
          <w:lang w:val="fr-BE"/>
        </w:rPr>
      </w:pPr>
      <w:r>
        <w:rPr>
          <w:rStyle w:val="Appelnotedebasdep"/>
        </w:rPr>
        <w:footnoteRef/>
      </w:r>
      <w:r w:rsidRPr="00804DBF">
        <w:rPr>
          <w:lang w:val="fr-BE"/>
        </w:rPr>
        <w:t xml:space="preserve"> </w:t>
      </w:r>
      <w:r>
        <w:rPr>
          <w:lang w:val="fr-BE"/>
        </w:rPr>
        <w:t xml:space="preserve">Entrainant la suppression de l’article 1 §4 de la LSF permettant à la Communauté française d’utiliser les moyens de la Région wallonne. </w:t>
      </w:r>
      <w:proofErr w:type="spellStart"/>
      <w:r>
        <w:rPr>
          <w:lang w:val="fr-BE"/>
        </w:rPr>
        <w:t>Voy</w:t>
      </w:r>
      <w:proofErr w:type="spellEnd"/>
      <w:r>
        <w:rPr>
          <w:lang w:val="fr-BE"/>
        </w:rPr>
        <w:t xml:space="preserve"> notamment BEHRENDT et VRANCKEN, 2021.</w:t>
      </w:r>
    </w:p>
  </w:footnote>
  <w:footnote w:id="75">
    <w:p w14:paraId="3ECC2F39" w14:textId="76BC42B6" w:rsidR="00567AFB" w:rsidRPr="00C32F28" w:rsidRDefault="00567AFB" w:rsidP="00567AFB">
      <w:pPr>
        <w:pStyle w:val="Notedebasdepage"/>
        <w:rPr>
          <w:lang w:val="fr-BE"/>
        </w:rPr>
      </w:pPr>
      <w:r w:rsidRPr="00C32F28">
        <w:rPr>
          <w:rStyle w:val="Appelnotedebasdep"/>
        </w:rPr>
        <w:footnoteRef/>
      </w:r>
      <w:r w:rsidRPr="00140790">
        <w:rPr>
          <w:lang w:val="fr-BE"/>
        </w:rPr>
        <w:t xml:space="preserve"> </w:t>
      </w:r>
      <w:proofErr w:type="spellStart"/>
      <w:r w:rsidRPr="00C32F28">
        <w:rPr>
          <w:lang w:val="fr-BE"/>
        </w:rPr>
        <w:t>Vo</w:t>
      </w:r>
      <w:r w:rsidR="00853889">
        <w:rPr>
          <w:lang w:val="fr-BE"/>
        </w:rPr>
        <w:t>y</w:t>
      </w:r>
      <w:proofErr w:type="spellEnd"/>
      <w:r w:rsidR="00853889">
        <w:rPr>
          <w:lang w:val="fr-BE"/>
        </w:rPr>
        <w:t>.</w:t>
      </w:r>
      <w:r w:rsidRPr="00C32F28">
        <w:rPr>
          <w:lang w:val="fr-BE"/>
        </w:rPr>
        <w:t xml:space="preserve"> notamment F. JONGEN, « Communauté française et Région wallonne. Wallonie-Bruxelles, même combat » in UYTTENDAELE (1989).</w:t>
      </w:r>
    </w:p>
  </w:footnote>
  <w:footnote w:id="76">
    <w:p w14:paraId="3D1DF6E6" w14:textId="44C9B3B2" w:rsidR="00B40A78" w:rsidRPr="00B40A78" w:rsidRDefault="00B40A78">
      <w:pPr>
        <w:pStyle w:val="Notedebasdepage"/>
        <w:rPr>
          <w:lang w:val="fr-BE"/>
        </w:rPr>
      </w:pPr>
      <w:r>
        <w:rPr>
          <w:rStyle w:val="Appelnotedebasdep"/>
        </w:rPr>
        <w:footnoteRef/>
      </w:r>
      <w:r w:rsidRPr="00804DBF">
        <w:rPr>
          <w:lang w:val="fr-BE"/>
        </w:rPr>
        <w:t xml:space="preserve"> </w:t>
      </w:r>
      <w:r>
        <w:rPr>
          <w:lang w:val="fr-BE"/>
        </w:rPr>
        <w:t>Moniteur belge du 30 juin 1990.</w:t>
      </w:r>
    </w:p>
  </w:footnote>
  <w:footnote w:id="77">
    <w:p w14:paraId="141517EE" w14:textId="4F5CFA94" w:rsidR="009851FA" w:rsidRPr="009851FA" w:rsidRDefault="009851FA">
      <w:pPr>
        <w:pStyle w:val="Notedebasdepage"/>
        <w:rPr>
          <w:lang w:val="fr-BE"/>
        </w:rPr>
      </w:pPr>
      <w:r>
        <w:rPr>
          <w:rStyle w:val="Appelnotedebasdep"/>
        </w:rPr>
        <w:footnoteRef/>
      </w:r>
      <w:r>
        <w:t xml:space="preserve"> </w:t>
      </w:r>
      <w:r>
        <w:rPr>
          <w:lang w:val="fr-BE"/>
        </w:rPr>
        <w:t>ARCQ, 1993</w:t>
      </w:r>
    </w:p>
  </w:footnote>
  <w:footnote w:id="78">
    <w:p w14:paraId="20346E6B" w14:textId="4DC3D90F" w:rsidR="00BA1240" w:rsidRPr="00C32F28" w:rsidRDefault="00BA1240">
      <w:pPr>
        <w:pStyle w:val="Notedebasdepage"/>
        <w:rPr>
          <w:lang w:val="fr-BE"/>
        </w:rPr>
      </w:pPr>
      <w:r w:rsidRPr="00C32F28">
        <w:rPr>
          <w:rStyle w:val="Appelnotedebasdep"/>
        </w:rPr>
        <w:footnoteRef/>
      </w:r>
      <w:r w:rsidRPr="00140790">
        <w:rPr>
          <w:lang w:val="fr-BE"/>
        </w:rPr>
        <w:t xml:space="preserve"> </w:t>
      </w:r>
      <w:proofErr w:type="spellStart"/>
      <w:r w:rsidRPr="00C32F28">
        <w:rPr>
          <w:lang w:val="fr-BE"/>
        </w:rPr>
        <w:t>Vo</w:t>
      </w:r>
      <w:r w:rsidR="00B40A78">
        <w:rPr>
          <w:lang w:val="fr-BE"/>
        </w:rPr>
        <w:t>y</w:t>
      </w:r>
      <w:proofErr w:type="spellEnd"/>
      <w:r w:rsidR="00B40A78">
        <w:rPr>
          <w:lang w:val="fr-BE"/>
        </w:rPr>
        <w:t>.</w:t>
      </w:r>
      <w:r w:rsidRPr="00C32F28">
        <w:rPr>
          <w:lang w:val="fr-BE"/>
        </w:rPr>
        <w:t xml:space="preserve"> notamment BAYENET et al, 1999 et BAYENET et al, 2011.</w:t>
      </w:r>
    </w:p>
  </w:footnote>
  <w:footnote w:id="79">
    <w:p w14:paraId="542D5910" w14:textId="64F55912" w:rsidR="004D541C" w:rsidRPr="00C32F28" w:rsidRDefault="004D541C" w:rsidP="004D541C">
      <w:pPr>
        <w:pStyle w:val="Notedebasdepage"/>
        <w:rPr>
          <w:lang w:val="fr-BE"/>
        </w:rPr>
      </w:pPr>
      <w:r w:rsidRPr="00C32F28">
        <w:rPr>
          <w:rStyle w:val="Appelnotedebasdep"/>
        </w:rPr>
        <w:footnoteRef/>
      </w:r>
      <w:r w:rsidRPr="00C32F28">
        <w:rPr>
          <w:lang w:val="fr-FR"/>
        </w:rPr>
        <w:t xml:space="preserve"> Voir notamment </w:t>
      </w:r>
      <w:r w:rsidR="00C10145" w:rsidRPr="00C32F28">
        <w:rPr>
          <w:lang w:val="fr-BE"/>
        </w:rPr>
        <w:t xml:space="preserve">J. HENRY, G. FILLEUL et G. PAGANO, </w:t>
      </w:r>
      <w:r w:rsidR="00C10145" w:rsidRPr="00C32F28">
        <w:rPr>
          <w:i/>
          <w:lang w:val="fr-BE"/>
        </w:rPr>
        <w:t>L’accord institutionnel dit de la Saint-Eloi</w:t>
      </w:r>
      <w:r w:rsidR="00C10145" w:rsidRPr="00C32F28">
        <w:rPr>
          <w:lang w:val="fr-BE"/>
        </w:rPr>
        <w:t xml:space="preserve">, </w:t>
      </w:r>
      <w:r w:rsidR="00C10145" w:rsidRPr="00C32F28">
        <w:rPr>
          <w:i/>
          <w:lang w:val="fr-BE"/>
        </w:rPr>
        <w:t>Courrier hebdomadaire du CRISP</w:t>
      </w:r>
      <w:r w:rsidR="00C10145" w:rsidRPr="00C32F28">
        <w:rPr>
          <w:lang w:val="fr-BE"/>
        </w:rPr>
        <w:t>, n°1996, 2000.</w:t>
      </w:r>
    </w:p>
  </w:footnote>
  <w:footnote w:id="80">
    <w:p w14:paraId="530B2CED" w14:textId="1EB7D0C4" w:rsidR="00FA332A" w:rsidRPr="00C32F28" w:rsidRDefault="00FA332A">
      <w:pPr>
        <w:pStyle w:val="Notedebasdepage"/>
        <w:rPr>
          <w:lang w:val="fr-BE"/>
        </w:rPr>
      </w:pPr>
      <w:r w:rsidRPr="00C32F28">
        <w:rPr>
          <w:rStyle w:val="Appelnotedebasdep"/>
        </w:rPr>
        <w:footnoteRef/>
      </w:r>
      <w:r w:rsidRPr="00140790">
        <w:rPr>
          <w:lang w:val="fr-BE"/>
        </w:rPr>
        <w:t xml:space="preserve"> </w:t>
      </w:r>
      <w:r w:rsidR="00C10145" w:rsidRPr="00C32F28">
        <w:rPr>
          <w:lang w:val="fr-BE"/>
        </w:rPr>
        <w:t>Voir BAYENET et al, 2011.</w:t>
      </w:r>
    </w:p>
  </w:footnote>
  <w:footnote w:id="81">
    <w:p w14:paraId="2A4FBD2C" w14:textId="775CF790" w:rsidR="00B40A78" w:rsidRPr="00B40A78" w:rsidRDefault="00B40A78">
      <w:pPr>
        <w:pStyle w:val="Notedebasdepage"/>
        <w:rPr>
          <w:lang w:val="fr-BE"/>
        </w:rPr>
      </w:pPr>
      <w:r>
        <w:rPr>
          <w:rStyle w:val="Appelnotedebasdep"/>
        </w:rPr>
        <w:footnoteRef/>
      </w:r>
      <w:r w:rsidRPr="00804DBF">
        <w:rPr>
          <w:lang w:val="fr-BE"/>
        </w:rPr>
        <w:t xml:space="preserve"> </w:t>
      </w:r>
      <w:r>
        <w:rPr>
          <w:lang w:val="fr-BE"/>
        </w:rPr>
        <w:t>Art. 1</w:t>
      </w:r>
      <w:r w:rsidRPr="00B40A78">
        <w:rPr>
          <w:vertAlign w:val="superscript"/>
          <w:lang w:val="fr-BE"/>
        </w:rPr>
        <w:t>er</w:t>
      </w:r>
      <w:r>
        <w:rPr>
          <w:lang w:val="fr-BE"/>
        </w:rPr>
        <w:t>, §3 de la LSF.</w:t>
      </w:r>
    </w:p>
  </w:footnote>
  <w:footnote w:id="82">
    <w:p w14:paraId="7E0D4FED" w14:textId="6BD1BDE1" w:rsidR="002940A5" w:rsidRPr="00C32F28" w:rsidRDefault="002940A5" w:rsidP="002940A5">
      <w:pPr>
        <w:pStyle w:val="Notedebasdepage"/>
        <w:rPr>
          <w:lang w:val="fr-BE"/>
        </w:rPr>
      </w:pPr>
      <w:r w:rsidRPr="00C32F28">
        <w:rPr>
          <w:rStyle w:val="Appelnotedebasdep"/>
        </w:rPr>
        <w:footnoteRef/>
      </w:r>
      <w:r w:rsidRPr="00C32F28">
        <w:rPr>
          <w:lang w:val="fr-BE"/>
        </w:rPr>
        <w:t xml:space="preserve"> Voir G. P</w:t>
      </w:r>
      <w:r w:rsidR="00A553DB" w:rsidRPr="00C32F28">
        <w:rPr>
          <w:lang w:val="fr-BE"/>
        </w:rPr>
        <w:t xml:space="preserve">AGANO, </w:t>
      </w:r>
      <w:r w:rsidR="00A553DB" w:rsidRPr="00C32F28">
        <w:rPr>
          <w:i/>
          <w:iCs/>
          <w:lang w:val="fr-BE"/>
        </w:rPr>
        <w:t>Le financement des Communautés et Régions</w:t>
      </w:r>
      <w:r w:rsidR="00A553DB" w:rsidRPr="00C32F28">
        <w:rPr>
          <w:lang w:val="fr-BE"/>
        </w:rPr>
        <w:t xml:space="preserve"> </w:t>
      </w:r>
      <w:r w:rsidR="00A553DB" w:rsidRPr="00C32F28">
        <w:rPr>
          <w:i/>
          <w:iCs/>
          <w:lang w:val="fr-BE"/>
        </w:rPr>
        <w:t>1970-2002</w:t>
      </w:r>
      <w:r w:rsidR="00A553DB" w:rsidRPr="00C32F28">
        <w:rPr>
          <w:lang w:val="fr-BE"/>
        </w:rPr>
        <w:t>, CRIPS, 2002.</w:t>
      </w:r>
    </w:p>
  </w:footnote>
  <w:footnote w:id="83">
    <w:p w14:paraId="5DA4C4C8" w14:textId="0D6FD476" w:rsidR="000B5CAE" w:rsidRPr="008E3605" w:rsidRDefault="000B5CAE">
      <w:pPr>
        <w:pStyle w:val="Notedebasdepage"/>
        <w:rPr>
          <w:lang w:val="fr-BE"/>
        </w:rPr>
      </w:pPr>
      <w:r>
        <w:rPr>
          <w:rStyle w:val="Appelnotedebasdep"/>
        </w:rPr>
        <w:footnoteRef/>
      </w:r>
      <w:r w:rsidRPr="008E3605">
        <w:rPr>
          <w:lang w:val="fr-BE"/>
        </w:rPr>
        <w:t xml:space="preserve">Pour une analyse des accords de 1990 voir notamment E. ARCQ, </w:t>
      </w:r>
      <w:r w:rsidRPr="008E3605">
        <w:rPr>
          <w:i/>
          <w:iCs/>
          <w:lang w:val="fr-BE"/>
        </w:rPr>
        <w:t>Gestion conjointe et délégation de compétences en Communauté française</w:t>
      </w:r>
      <w:r w:rsidRPr="008E3605">
        <w:rPr>
          <w:lang w:val="fr-BE"/>
        </w:rPr>
        <w:t>, Courrier hebdomadaire du CRISP</w:t>
      </w:r>
      <w:r w:rsidR="00B40A78">
        <w:rPr>
          <w:lang w:val="fr-BE"/>
        </w:rPr>
        <w:t>,</w:t>
      </w:r>
      <w:r w:rsidRPr="008E3605">
        <w:rPr>
          <w:lang w:val="fr-BE"/>
        </w:rPr>
        <w:t xml:space="preserve"> n°1373-1374- 1992</w:t>
      </w:r>
      <w:r w:rsidR="00B40A78">
        <w:rPr>
          <w:lang w:val="fr-BE"/>
        </w:rPr>
        <w:t>.</w:t>
      </w:r>
    </w:p>
  </w:footnote>
  <w:footnote w:id="84">
    <w:p w14:paraId="3D74152D" w14:textId="5C391586" w:rsidR="000B5CAE" w:rsidRPr="008E3605" w:rsidRDefault="000B5CAE" w:rsidP="000B5CAE">
      <w:pPr>
        <w:jc w:val="both"/>
        <w:rPr>
          <w:sz w:val="20"/>
        </w:rPr>
      </w:pPr>
      <w:r w:rsidRPr="008E3605">
        <w:rPr>
          <w:rStyle w:val="Appelnotedebasdep"/>
        </w:rPr>
        <w:footnoteRef/>
      </w:r>
      <w:r w:rsidRPr="008E3605">
        <w:t xml:space="preserve"> </w:t>
      </w:r>
      <w:r w:rsidRPr="008E3605">
        <w:rPr>
          <w:sz w:val="20"/>
        </w:rPr>
        <w:t xml:space="preserve">Le transfert aux Régions et Communautés de compétences en matière de politique de l'emploi et de formation professionnelle lors de la réforme de 1980 entraîna une restructuration de l'Office national de l'emploi et la création de nouveaux organismes communautaires et régionaux. Alors que la nouvelle organisation est mise en place dès 1984 en Communauté flamande, il faudra attendre la fin de l’année 1988 pour voir le processus de décision arriver à son terme en Région wallonne et en Communauté française. Le FOREM fut formellement créé par la Région wallonne et devint un organisme commun avec les Communautés française et germanophone dès l'instant où des missions relevant des compétences communautaires lui furent attribuées en même temps que des moyens budgétaires correspondant à ces missions par une </w:t>
      </w:r>
      <w:r w:rsidR="009B1DA8">
        <w:rPr>
          <w:sz w:val="20"/>
        </w:rPr>
        <w:t>C</w:t>
      </w:r>
      <w:r w:rsidRPr="008E3605">
        <w:rPr>
          <w:sz w:val="20"/>
        </w:rPr>
        <w:t>ommunauté. Chaque exécutif reste maître de sa politique, exerce une tutelle sur l'organisme dans les limites de ses compétences et exerce conjointement une tutelle sur les matières communes</w:t>
      </w:r>
      <w:r w:rsidR="008E3605">
        <w:rPr>
          <w:sz w:val="20"/>
        </w:rPr>
        <w:t xml:space="preserve"> (ARCQ, 1992).</w:t>
      </w:r>
    </w:p>
  </w:footnote>
  <w:footnote w:id="85">
    <w:p w14:paraId="2F996025" w14:textId="37B33F4A" w:rsidR="00A556C1" w:rsidRPr="008E3605" w:rsidRDefault="00A556C1" w:rsidP="00A556C1">
      <w:pPr>
        <w:pStyle w:val="Notedebasdepage"/>
        <w:rPr>
          <w:lang w:val="fr-BE"/>
        </w:rPr>
      </w:pPr>
      <w:r w:rsidRPr="008E3605">
        <w:rPr>
          <w:rStyle w:val="Appelnotedebasdep"/>
          <w:lang w:val="fr-BE"/>
        </w:rPr>
        <w:footnoteRef/>
      </w:r>
      <w:r w:rsidRPr="008E3605">
        <w:rPr>
          <w:lang w:val="fr-BE"/>
        </w:rPr>
        <w:t xml:space="preserve"> </w:t>
      </w:r>
      <w:r w:rsidRPr="008E3605">
        <w:rPr>
          <w:i/>
          <w:iCs/>
          <w:lang w:val="fr-BE"/>
        </w:rPr>
        <w:t>Accords gouvernementaux, réformes institutionnelles et politique budgétaire. Janvier-juin 1992</w:t>
      </w:r>
      <w:r w:rsidRPr="008E3605">
        <w:rPr>
          <w:lang w:val="fr-BE"/>
        </w:rPr>
        <w:t xml:space="preserve"> », Courrier hebdomadaire du </w:t>
      </w:r>
      <w:proofErr w:type="spellStart"/>
      <w:r w:rsidRPr="008E3605">
        <w:rPr>
          <w:lang w:val="fr-BE"/>
        </w:rPr>
        <w:t>Crisp</w:t>
      </w:r>
      <w:proofErr w:type="spellEnd"/>
      <w:r w:rsidRPr="008E3605">
        <w:rPr>
          <w:lang w:val="fr-BE"/>
        </w:rPr>
        <w:t>, n° 1363-1364, 1992</w:t>
      </w:r>
      <w:r w:rsidR="00F207BF" w:rsidRPr="008E3605">
        <w:rPr>
          <w:lang w:val="fr-BE"/>
        </w:rPr>
        <w:t>.</w:t>
      </w:r>
    </w:p>
  </w:footnote>
  <w:footnote w:id="86">
    <w:p w14:paraId="2A0A3612" w14:textId="6EEC9B13" w:rsidR="00A556C1" w:rsidRPr="00C32F28" w:rsidRDefault="00A556C1" w:rsidP="00A556C1">
      <w:pPr>
        <w:pStyle w:val="Notedebasdepage"/>
        <w:rPr>
          <w:lang w:val="fr-FR"/>
        </w:rPr>
      </w:pPr>
      <w:r w:rsidRPr="00C32F28">
        <w:rPr>
          <w:rStyle w:val="Appelnotedebasdep"/>
        </w:rPr>
        <w:footnoteRef/>
      </w:r>
      <w:r w:rsidRPr="00C32F28">
        <w:rPr>
          <w:lang w:val="fr-FR"/>
        </w:rPr>
        <w:t xml:space="preserve"> Pour une analyse historique de l’accord voir E. </w:t>
      </w:r>
      <w:r w:rsidR="00EF31B6" w:rsidRPr="00C32F28">
        <w:rPr>
          <w:lang w:val="fr-FR"/>
        </w:rPr>
        <w:t xml:space="preserve">ARCQ, </w:t>
      </w:r>
      <w:r w:rsidRPr="00C32F28">
        <w:rPr>
          <w:lang w:val="fr-FR"/>
        </w:rPr>
        <w:t>1993</w:t>
      </w:r>
      <w:r w:rsidR="00DA764E" w:rsidRPr="00C32F28">
        <w:rPr>
          <w:lang w:val="fr-FR"/>
        </w:rPr>
        <w:t xml:space="preserve"> et </w:t>
      </w:r>
      <w:r w:rsidR="00DA764E" w:rsidRPr="00C32F28">
        <w:rPr>
          <w:lang w:val="fr-BE"/>
        </w:rPr>
        <w:t xml:space="preserve">BORN R., </w:t>
      </w:r>
      <w:r w:rsidR="00DA764E" w:rsidRPr="00C32F28">
        <w:rPr>
          <w:i/>
          <w:iCs/>
          <w:lang w:val="fr-BE"/>
        </w:rPr>
        <w:t>Bilan de l’exercice des compétences transférées par la Communauté française</w:t>
      </w:r>
      <w:r w:rsidR="00DA764E" w:rsidRPr="00C32F28">
        <w:rPr>
          <w:lang w:val="fr-BE"/>
        </w:rPr>
        <w:t>, Courrier hebdomadaire du CRISP, n°1783-84, 2002</w:t>
      </w:r>
    </w:p>
  </w:footnote>
  <w:footnote w:id="87">
    <w:p w14:paraId="64C92714" w14:textId="6B62FD7E" w:rsidR="00A556C1" w:rsidRPr="00C32F28" w:rsidRDefault="00A556C1" w:rsidP="00A556C1">
      <w:pPr>
        <w:pStyle w:val="Notedebasdepage"/>
        <w:rPr>
          <w:lang w:val="fr-BE"/>
        </w:rPr>
      </w:pPr>
      <w:r w:rsidRPr="00C32F28">
        <w:rPr>
          <w:rStyle w:val="Appelnotedebasdep"/>
        </w:rPr>
        <w:footnoteRef/>
      </w:r>
      <w:r w:rsidRPr="00C32F28">
        <w:rPr>
          <w:lang w:val="fr-BE"/>
        </w:rPr>
        <w:t xml:space="preserve"> M. </w:t>
      </w:r>
      <w:r w:rsidR="00EF31B6" w:rsidRPr="00C32F28">
        <w:rPr>
          <w:lang w:val="fr-BE"/>
        </w:rPr>
        <w:t xml:space="preserve">FOCCROULLE, « Les effets de la réforme de l’Etat de 1993 sur les finances de la Région wallonne », es finances de la Région wallonne, Enjeux majeurs et défis immédiats, Colloque du 21 octobre 1993, Labor, </w:t>
      </w:r>
      <w:proofErr w:type="spellStart"/>
      <w:r w:rsidR="00EF31B6" w:rsidRPr="00C32F28">
        <w:rPr>
          <w:lang w:val="fr-BE"/>
        </w:rPr>
        <w:t>Loverval</w:t>
      </w:r>
      <w:proofErr w:type="spellEnd"/>
      <w:r w:rsidR="00EF31B6" w:rsidRPr="00C32F28">
        <w:rPr>
          <w:lang w:val="fr-BE"/>
        </w:rPr>
        <w:t>, 1993.</w:t>
      </w:r>
    </w:p>
  </w:footnote>
  <w:footnote w:id="88">
    <w:p w14:paraId="47B5A7EF" w14:textId="77777777" w:rsidR="004D541C" w:rsidRPr="00C32F28" w:rsidRDefault="004D541C" w:rsidP="004D541C">
      <w:pPr>
        <w:pStyle w:val="Notedebasdepage"/>
        <w:rPr>
          <w:lang w:val="fr-BE"/>
        </w:rPr>
      </w:pPr>
      <w:r w:rsidRPr="00C32F28">
        <w:rPr>
          <w:rStyle w:val="Appelnotedebasdep"/>
          <w:lang w:val="fr-BE"/>
        </w:rPr>
        <w:footnoteRef/>
      </w:r>
      <w:r w:rsidRPr="00C32F28">
        <w:rPr>
          <w:lang w:val="fr-BE"/>
        </w:rPr>
        <w:t xml:space="preserve"> Décret II du 19 juillet 1993 de la Communauté française, M. B. 10 septembre 1993.</w:t>
      </w:r>
    </w:p>
  </w:footnote>
  <w:footnote w:id="89">
    <w:p w14:paraId="3468968B" w14:textId="52CF1049" w:rsidR="00B40A78" w:rsidRPr="00B40A78" w:rsidRDefault="00B40A78">
      <w:pPr>
        <w:pStyle w:val="Notedebasdepage"/>
        <w:rPr>
          <w:lang w:val="fr-BE"/>
        </w:rPr>
      </w:pPr>
      <w:r>
        <w:rPr>
          <w:rStyle w:val="Appelnotedebasdep"/>
        </w:rPr>
        <w:footnoteRef/>
      </w:r>
      <w:r w:rsidRPr="00804DBF">
        <w:rPr>
          <w:lang w:val="fr-BE"/>
        </w:rPr>
        <w:t xml:space="preserve"> </w:t>
      </w:r>
      <w:r>
        <w:rPr>
          <w:lang w:val="fr-BE"/>
        </w:rPr>
        <w:t>Il est important de signaler que c’est uniquement l’exercice des compétences qui est transféré et non les compétences matérielles.</w:t>
      </w:r>
    </w:p>
  </w:footnote>
  <w:footnote w:id="90">
    <w:p w14:paraId="69FD261E" w14:textId="15C61B00" w:rsidR="009851FA" w:rsidRPr="009851FA" w:rsidRDefault="009851FA">
      <w:pPr>
        <w:pStyle w:val="Notedebasdepage"/>
        <w:rPr>
          <w:lang w:val="fr-BE"/>
        </w:rPr>
      </w:pPr>
      <w:r>
        <w:rPr>
          <w:rStyle w:val="Appelnotedebasdep"/>
        </w:rPr>
        <w:footnoteRef/>
      </w:r>
      <w:r>
        <w:t xml:space="preserve"> </w:t>
      </w:r>
      <w:r>
        <w:rPr>
          <w:lang w:val="fr-BE"/>
        </w:rPr>
        <w:t>ARCQ, 1993.</w:t>
      </w:r>
    </w:p>
  </w:footnote>
  <w:footnote w:id="91">
    <w:p w14:paraId="6C57B629" w14:textId="1F2142B3" w:rsidR="00093B3F" w:rsidRPr="00C32F28" w:rsidRDefault="00093B3F" w:rsidP="00093B3F">
      <w:pPr>
        <w:pStyle w:val="Notedebasdepage"/>
        <w:rPr>
          <w:lang w:val="fr-BE"/>
        </w:rPr>
      </w:pPr>
      <w:r w:rsidRPr="00C32F28">
        <w:rPr>
          <w:rStyle w:val="Appelnotedebasdep"/>
        </w:rPr>
        <w:footnoteRef/>
      </w:r>
      <w:r w:rsidRPr="00713568">
        <w:rPr>
          <w:lang w:val="fr-BE"/>
        </w:rPr>
        <w:t xml:space="preserve"> </w:t>
      </w:r>
      <w:r w:rsidRPr="00C32F28">
        <w:rPr>
          <w:lang w:val="fr-BE"/>
        </w:rPr>
        <w:t xml:space="preserve">N. RYELANDT, </w:t>
      </w:r>
      <w:r w:rsidRPr="00C32F28">
        <w:rPr>
          <w:i/>
          <w:iCs/>
          <w:lang w:val="fr-BE"/>
        </w:rPr>
        <w:t>Le groupe Wallonie-Bruxelles et le débat sur les institutions francophones</w:t>
      </w:r>
      <w:r w:rsidRPr="00C32F28">
        <w:rPr>
          <w:lang w:val="fr-BE"/>
        </w:rPr>
        <w:t>, Courrier hebdomadaire du CRISP, 2009-2010, 2009.</w:t>
      </w:r>
    </w:p>
  </w:footnote>
  <w:footnote w:id="92">
    <w:p w14:paraId="5DC1AE29" w14:textId="1D032722" w:rsidR="009851FA" w:rsidRPr="009851FA" w:rsidRDefault="009851FA">
      <w:pPr>
        <w:pStyle w:val="Notedebasdepage"/>
        <w:rPr>
          <w:lang w:val="fr-BE"/>
        </w:rPr>
      </w:pPr>
      <w:r>
        <w:rPr>
          <w:rStyle w:val="Appelnotedebasdep"/>
        </w:rPr>
        <w:footnoteRef/>
      </w:r>
      <w:r>
        <w:t xml:space="preserve"> </w:t>
      </w:r>
      <w:r>
        <w:rPr>
          <w:color w:val="231F20"/>
          <w:szCs w:val="24"/>
          <w:shd w:val="clear" w:color="auto" w:fill="FFFFFF"/>
        </w:rPr>
        <w:t>RYELANDT, 2009</w:t>
      </w:r>
    </w:p>
  </w:footnote>
  <w:footnote w:id="93">
    <w:p w14:paraId="6B834B8C" w14:textId="16AF31C1" w:rsidR="009851FA" w:rsidRPr="009851FA" w:rsidRDefault="009851FA">
      <w:pPr>
        <w:pStyle w:val="Notedebasdepage"/>
        <w:rPr>
          <w:lang w:val="fr-BE"/>
        </w:rPr>
      </w:pPr>
      <w:r>
        <w:rPr>
          <w:rStyle w:val="Appelnotedebasdep"/>
        </w:rPr>
        <w:footnoteRef/>
      </w:r>
      <w:r>
        <w:t xml:space="preserve"> </w:t>
      </w:r>
      <w:r>
        <w:rPr>
          <w:color w:val="231F20"/>
          <w:szCs w:val="24"/>
          <w:shd w:val="clear" w:color="auto" w:fill="FFFFFF"/>
        </w:rPr>
        <w:t>BAYENET et al, 2011</w:t>
      </w:r>
    </w:p>
  </w:footnote>
  <w:footnote w:id="94">
    <w:p w14:paraId="6D5EB5D6" w14:textId="4097740E" w:rsidR="00CE7705" w:rsidRPr="00C32F28" w:rsidRDefault="00CE7705" w:rsidP="00CE7705">
      <w:pPr>
        <w:pStyle w:val="Notedebasdepage"/>
        <w:rPr>
          <w:lang w:val="fr-BE"/>
        </w:rPr>
      </w:pPr>
      <w:r w:rsidRPr="00C32F28">
        <w:rPr>
          <w:rStyle w:val="Appelnotedebasdep"/>
        </w:rPr>
        <w:footnoteRef/>
      </w:r>
      <w:r w:rsidRPr="00713568">
        <w:rPr>
          <w:lang w:val="fr-BE"/>
        </w:rPr>
        <w:t xml:space="preserve"> </w:t>
      </w:r>
      <w:r w:rsidR="00AB0080" w:rsidRPr="00C32F28">
        <w:rPr>
          <w:lang w:val="fr-BE"/>
        </w:rPr>
        <w:t>Selon J</w:t>
      </w:r>
      <w:r w:rsidR="00AB0080" w:rsidRPr="00C32F28">
        <w:rPr>
          <w:color w:val="231F20"/>
          <w:shd w:val="clear" w:color="auto" w:fill="FFFFFF"/>
          <w:lang w:val="fr-BE"/>
        </w:rPr>
        <w:t>.C</w:t>
      </w:r>
      <w:r w:rsidR="00B40A78">
        <w:rPr>
          <w:color w:val="231F20"/>
          <w:shd w:val="clear" w:color="auto" w:fill="FFFFFF"/>
          <w:lang w:val="fr-BE"/>
        </w:rPr>
        <w:t>.</w:t>
      </w:r>
      <w:r w:rsidR="00AB0080" w:rsidRPr="00C32F28">
        <w:rPr>
          <w:color w:val="231F20"/>
          <w:shd w:val="clear" w:color="auto" w:fill="FFFFFF"/>
          <w:lang w:val="fr-BE"/>
        </w:rPr>
        <w:t xml:space="preserve"> SCHOLSE</w:t>
      </w:r>
      <w:r w:rsidR="00B40A78">
        <w:rPr>
          <w:color w:val="231F20"/>
          <w:shd w:val="clear" w:color="auto" w:fill="FFFFFF"/>
          <w:lang w:val="fr-BE"/>
        </w:rPr>
        <w:t>M</w:t>
      </w:r>
      <w:r w:rsidR="00AB0080" w:rsidRPr="00C32F28">
        <w:rPr>
          <w:color w:val="231F20"/>
          <w:shd w:val="clear" w:color="auto" w:fill="FFFFFF"/>
          <w:lang w:val="fr-BE"/>
        </w:rPr>
        <w:t xml:space="preserve"> dans le cadre des auditions des constitutionnalistes dans le cadre du Groupe Wallonie-Bxl) in RYELANDT (2009).</w:t>
      </w:r>
    </w:p>
  </w:footnote>
  <w:footnote w:id="95">
    <w:p w14:paraId="73A19C6A" w14:textId="488D7C5F" w:rsidR="00007105" w:rsidRPr="00C32F28" w:rsidRDefault="00007105" w:rsidP="00007105">
      <w:pPr>
        <w:pStyle w:val="Notedebasdepage"/>
        <w:rPr>
          <w:lang w:val="fr-BE"/>
        </w:rPr>
      </w:pPr>
      <w:r w:rsidRPr="00C32F28">
        <w:rPr>
          <w:rStyle w:val="Appelnotedebasdep"/>
        </w:rPr>
        <w:footnoteRef/>
      </w:r>
      <w:r w:rsidRPr="00713568">
        <w:rPr>
          <w:lang w:val="fr-BE"/>
        </w:rPr>
        <w:t xml:space="preserve"> </w:t>
      </w:r>
      <w:r w:rsidRPr="00C32F28">
        <w:rPr>
          <w:lang w:val="fr-BE"/>
        </w:rPr>
        <w:t xml:space="preserve">Ph. CATTOIR, VAESEN J. VERDONCK M., VAN DER STICHELE G., et P. ZIMMER, </w:t>
      </w:r>
      <w:r w:rsidRPr="00C32F28">
        <w:rPr>
          <w:i/>
          <w:iCs/>
          <w:lang w:val="fr-BE"/>
        </w:rPr>
        <w:t>Finances publiques à Bruxelles : analyse et enjeux</w:t>
      </w:r>
      <w:r w:rsidRPr="00C32F28">
        <w:rPr>
          <w:lang w:val="fr-BE"/>
        </w:rPr>
        <w:t>, Courrier hebdomadaire du CRISP 2007-2008, 2009</w:t>
      </w:r>
    </w:p>
  </w:footnote>
  <w:footnote w:id="96">
    <w:p w14:paraId="60FA3FE6" w14:textId="2862D4BF" w:rsidR="00C017A1" w:rsidRPr="00C32F28" w:rsidRDefault="00C017A1" w:rsidP="00C017A1">
      <w:pPr>
        <w:pStyle w:val="Notedebasdepage"/>
        <w:rPr>
          <w:lang w:val="fr-BE"/>
        </w:rPr>
      </w:pPr>
      <w:r w:rsidRPr="00C32F28">
        <w:rPr>
          <w:rStyle w:val="Appelnotedebasdep"/>
        </w:rPr>
        <w:footnoteRef/>
      </w:r>
      <w:r w:rsidRPr="00C32F28">
        <w:rPr>
          <w:lang w:val="fr-BE"/>
        </w:rPr>
        <w:t xml:space="preserve"> Décret de la Communauté française du 23 décembre 1999 modifiant le décret II de la Communauté française du 19 juillet 1993 attribuant l’exercice de certaines compétences de la Communauté française à la Région wallonne et à la Commission communautaire française, M. B. 20 janvier 2000. L’article 4 modifie l’article 6 du Décret II en ajoutant un article 6 bis</w:t>
      </w:r>
      <w:r w:rsidRPr="00C32F28">
        <w:rPr>
          <w:i/>
          <w:lang w:val="fr-BE"/>
        </w:rPr>
        <w:t>. Voir notamment</w:t>
      </w:r>
      <w:r w:rsidRPr="00C32F28">
        <w:rPr>
          <w:lang w:val="fr-FR"/>
        </w:rPr>
        <w:t xml:space="preserve"> M. Van den </w:t>
      </w:r>
      <w:proofErr w:type="spellStart"/>
      <w:r w:rsidRPr="00C32F28">
        <w:rPr>
          <w:lang w:val="fr-FR"/>
        </w:rPr>
        <w:t>Kerkove</w:t>
      </w:r>
      <w:proofErr w:type="spellEnd"/>
      <w:r w:rsidRPr="00C32F28">
        <w:rPr>
          <w:lang w:val="fr-FR"/>
        </w:rPr>
        <w:t xml:space="preserve">, S. </w:t>
      </w:r>
      <w:proofErr w:type="spellStart"/>
      <w:r w:rsidRPr="00C32F28">
        <w:rPr>
          <w:lang w:val="fr-FR"/>
        </w:rPr>
        <w:t>Bastaits</w:t>
      </w:r>
      <w:proofErr w:type="spellEnd"/>
      <w:r w:rsidRPr="00C32F28">
        <w:rPr>
          <w:lang w:val="fr-FR"/>
        </w:rPr>
        <w:t xml:space="preserve">, V. </w:t>
      </w:r>
      <w:proofErr w:type="spellStart"/>
      <w:r w:rsidRPr="00C32F28">
        <w:rPr>
          <w:lang w:val="fr-FR"/>
        </w:rPr>
        <w:t>Dermien</w:t>
      </w:r>
      <w:proofErr w:type="spellEnd"/>
      <w:r w:rsidRPr="00C32F28">
        <w:rPr>
          <w:lang w:val="fr-FR"/>
        </w:rPr>
        <w:t xml:space="preserve"> et R. Deschamps., « Les perspectives budgétaires de la Communauté française de 2002 à 2012 », </w:t>
      </w:r>
      <w:proofErr w:type="spellStart"/>
      <w:r w:rsidRPr="00C32F28">
        <w:rPr>
          <w:lang w:val="fr-FR"/>
        </w:rPr>
        <w:t>Working</w:t>
      </w:r>
      <w:proofErr w:type="spellEnd"/>
      <w:r w:rsidRPr="00C32F28">
        <w:rPr>
          <w:lang w:val="fr-FR"/>
        </w:rPr>
        <w:t xml:space="preserve"> </w:t>
      </w:r>
      <w:proofErr w:type="spellStart"/>
      <w:r w:rsidRPr="00C32F28">
        <w:rPr>
          <w:lang w:val="fr-FR"/>
        </w:rPr>
        <w:t>paper</w:t>
      </w:r>
      <w:proofErr w:type="spellEnd"/>
      <w:r w:rsidRPr="00C32F28">
        <w:rPr>
          <w:lang w:val="fr-FR"/>
        </w:rPr>
        <w:t xml:space="preserve"> des Facultés universitaires Notre-Dame de la Paix, n° 238, juin 2002.</w:t>
      </w:r>
    </w:p>
  </w:footnote>
  <w:footnote w:id="97">
    <w:p w14:paraId="713631F4" w14:textId="77777777" w:rsidR="004D541C" w:rsidRPr="00C32F28" w:rsidRDefault="004D541C" w:rsidP="004D541C">
      <w:pPr>
        <w:pStyle w:val="Notedebasdepage"/>
        <w:rPr>
          <w:lang w:val="fr-BE"/>
        </w:rPr>
      </w:pPr>
      <w:r w:rsidRPr="00C32F28">
        <w:rPr>
          <w:rStyle w:val="Appelnotedebasdep"/>
          <w:lang w:val="fr-BE"/>
        </w:rPr>
        <w:footnoteRef/>
      </w:r>
      <w:r w:rsidRPr="00C32F28">
        <w:rPr>
          <w:lang w:val="fr-BE"/>
        </w:rPr>
        <w:t xml:space="preserve"> Décret I du 5 juillet 1993 de la Communauté française relatif au transfert de l’exercice de certaines compétences de la Communauté française à la Région wallonne et à la Commission communautaire française.</w:t>
      </w:r>
    </w:p>
  </w:footnote>
  <w:footnote w:id="98">
    <w:p w14:paraId="47275441" w14:textId="77777777" w:rsidR="004D541C" w:rsidRPr="00C32F28" w:rsidRDefault="004D541C" w:rsidP="004D541C">
      <w:pPr>
        <w:pStyle w:val="Notedebasdepage"/>
        <w:rPr>
          <w:lang w:val="fr-FR"/>
        </w:rPr>
      </w:pPr>
      <w:r w:rsidRPr="00C32F28">
        <w:rPr>
          <w:rStyle w:val="Appelnotedebasdep"/>
        </w:rPr>
        <w:footnoteRef/>
      </w:r>
      <w:r w:rsidRPr="00C32F28">
        <w:rPr>
          <w:lang w:val="fr-FR"/>
        </w:rPr>
        <w:t xml:space="preserve"> Doc 167, 1992-1993, n° 4 du 24 juin 1993 du Conseil de la Région wallonne et doc 168, 1992-1993, n° 4 du 7 juillet 1993 du Conseil de la Région wallonne.</w:t>
      </w:r>
    </w:p>
  </w:footnote>
  <w:footnote w:id="99">
    <w:p w14:paraId="4AD809C5" w14:textId="307884E5" w:rsidR="004D541C" w:rsidRPr="00C32F28" w:rsidRDefault="004D541C" w:rsidP="004D541C">
      <w:pPr>
        <w:pStyle w:val="Notedebasdepage"/>
        <w:rPr>
          <w:lang w:val="fr-BE"/>
        </w:rPr>
      </w:pPr>
      <w:r w:rsidRPr="00C32F28">
        <w:rPr>
          <w:rStyle w:val="Appelnotedebasdep"/>
        </w:rPr>
        <w:footnoteRef/>
      </w:r>
      <w:r w:rsidRPr="00C32F28">
        <w:rPr>
          <w:lang w:val="fr-FR"/>
        </w:rPr>
        <w:t xml:space="preserve"> </w:t>
      </w:r>
      <w:r w:rsidR="001135BC" w:rsidRPr="00C32F28">
        <w:rPr>
          <w:lang w:val="fr-FR"/>
        </w:rPr>
        <w:t xml:space="preserve">FOCCROULE, </w:t>
      </w:r>
      <w:r w:rsidRPr="00C32F28">
        <w:rPr>
          <w:lang w:val="fr-FR"/>
        </w:rPr>
        <w:t>1993.</w:t>
      </w:r>
    </w:p>
  </w:footnote>
  <w:footnote w:id="100">
    <w:p w14:paraId="5CFBA155" w14:textId="629B0B2C" w:rsidR="004D541C" w:rsidRPr="00C32F28" w:rsidRDefault="004D541C" w:rsidP="004D541C">
      <w:pPr>
        <w:pStyle w:val="Notedebasdepage"/>
        <w:rPr>
          <w:lang w:val="fr-BE"/>
        </w:rPr>
      </w:pPr>
      <w:r w:rsidRPr="00C32F28">
        <w:rPr>
          <w:rStyle w:val="Appelnotedebasdep"/>
        </w:rPr>
        <w:footnoteRef/>
      </w:r>
      <w:r w:rsidRPr="00C32F28">
        <w:rPr>
          <w:lang w:val="fr-FR"/>
        </w:rPr>
        <w:t xml:space="preserve"> G. Van der </w:t>
      </w:r>
      <w:proofErr w:type="spellStart"/>
      <w:r w:rsidRPr="00C32F28">
        <w:rPr>
          <w:lang w:val="fr-FR"/>
        </w:rPr>
        <w:t>Stichele</w:t>
      </w:r>
      <w:proofErr w:type="spellEnd"/>
      <w:r w:rsidRPr="00C32F28">
        <w:rPr>
          <w:lang w:val="fr-FR"/>
        </w:rPr>
        <w:t xml:space="preserve"> et M. </w:t>
      </w:r>
      <w:proofErr w:type="spellStart"/>
      <w:r w:rsidRPr="00C32F28">
        <w:rPr>
          <w:lang w:val="fr-FR"/>
        </w:rPr>
        <w:t>Verdonck</w:t>
      </w:r>
      <w:proofErr w:type="spellEnd"/>
      <w:r w:rsidR="001135BC" w:rsidRPr="00C32F28">
        <w:rPr>
          <w:lang w:val="fr-FR"/>
        </w:rPr>
        <w:t xml:space="preserve">, </w:t>
      </w:r>
      <w:r w:rsidR="001135BC" w:rsidRPr="00C32F28">
        <w:rPr>
          <w:i/>
          <w:iCs/>
          <w:lang w:val="fr-FR"/>
        </w:rPr>
        <w:t>Les modifications de la loi spéciale de financement dans l’accord du Lambermont</w:t>
      </w:r>
      <w:r w:rsidR="001135BC" w:rsidRPr="00C32F28">
        <w:rPr>
          <w:lang w:val="fr-FR"/>
        </w:rPr>
        <w:t>, Courrier Hebdomadaire du CRISP, n°1</w:t>
      </w:r>
      <w:r w:rsidR="0087122F" w:rsidRPr="00C32F28">
        <w:rPr>
          <w:lang w:val="fr-FR"/>
        </w:rPr>
        <w:t>73</w:t>
      </w:r>
      <w:r w:rsidR="001135BC" w:rsidRPr="00C32F28">
        <w:rPr>
          <w:lang w:val="fr-FR"/>
        </w:rPr>
        <w:t xml:space="preserve">3, </w:t>
      </w:r>
      <w:r w:rsidR="0087122F" w:rsidRPr="00C32F28">
        <w:rPr>
          <w:lang w:val="fr-FR"/>
        </w:rPr>
        <w:t>2001.</w:t>
      </w:r>
    </w:p>
  </w:footnote>
  <w:footnote w:id="101">
    <w:p w14:paraId="458C447C" w14:textId="7A8E1E74" w:rsidR="00616DA2" w:rsidRPr="00616DA2" w:rsidRDefault="000C3265" w:rsidP="000C3265">
      <w:pPr>
        <w:pStyle w:val="Notedebasdepage"/>
        <w:rPr>
          <w:lang w:val="fr-BE"/>
        </w:rPr>
      </w:pPr>
      <w:r w:rsidRPr="00C32F28">
        <w:rPr>
          <w:rStyle w:val="Appelnotedebasdep"/>
        </w:rPr>
        <w:footnoteRef/>
      </w:r>
      <w:r w:rsidRPr="00713568">
        <w:rPr>
          <w:lang w:val="fr-BE"/>
        </w:rPr>
        <w:t xml:space="preserve"> </w:t>
      </w:r>
      <w:r w:rsidRPr="00616DA2">
        <w:rPr>
          <w:color w:val="231F20"/>
          <w:shd w:val="clear" w:color="auto" w:fill="FFFFFF"/>
          <w:lang w:val="fr-BE"/>
        </w:rPr>
        <w:t>Cour des comptes</w:t>
      </w:r>
      <w:r w:rsidRPr="00616DA2">
        <w:rPr>
          <w:i/>
          <w:iCs/>
          <w:color w:val="231F20"/>
          <w:shd w:val="clear" w:color="auto" w:fill="FFFFFF"/>
          <w:lang w:val="fr-BE"/>
        </w:rPr>
        <w:t xml:space="preserve">, </w:t>
      </w:r>
      <w:r w:rsidR="00616DA2" w:rsidRPr="00616DA2">
        <w:rPr>
          <w:i/>
          <w:iCs/>
          <w:lang w:val="fr-BE"/>
        </w:rPr>
        <w:t>32ème Cahier d’observations adressé par la Cour des comptes au Parlement de la Communauté française d’octobre 2020</w:t>
      </w:r>
      <w:r w:rsidR="00616DA2" w:rsidRPr="00616DA2">
        <w:rPr>
          <w:lang w:val="fr-BE"/>
        </w:rPr>
        <w:t>, page 113.</w:t>
      </w:r>
    </w:p>
  </w:footnote>
  <w:footnote w:id="102">
    <w:p w14:paraId="347D4030" w14:textId="18FB15DA" w:rsidR="009851FA" w:rsidRPr="009851FA" w:rsidRDefault="009851FA">
      <w:pPr>
        <w:pStyle w:val="Notedebasdepage"/>
        <w:rPr>
          <w:lang w:val="fr-BE"/>
        </w:rPr>
      </w:pPr>
      <w:r>
        <w:rPr>
          <w:rStyle w:val="Appelnotedebasdep"/>
        </w:rPr>
        <w:footnoteRef/>
      </w:r>
      <w:r>
        <w:t xml:space="preserve"> </w:t>
      </w:r>
      <w:r>
        <w:rPr>
          <w:lang w:val="fr-BE"/>
        </w:rPr>
        <w:t>ARCQ, 1993.</w:t>
      </w:r>
    </w:p>
  </w:footnote>
  <w:footnote w:id="103">
    <w:p w14:paraId="741CF80D" w14:textId="1DB7975A" w:rsidR="00FF22A8" w:rsidRPr="00C32F28" w:rsidRDefault="00FF22A8" w:rsidP="00FF22A8">
      <w:pPr>
        <w:pStyle w:val="Notedebasdepage"/>
        <w:rPr>
          <w:lang w:val="fr-FR"/>
        </w:rPr>
      </w:pPr>
      <w:r w:rsidRPr="00C32F28">
        <w:rPr>
          <w:rStyle w:val="Appelnotedebasdep"/>
        </w:rPr>
        <w:footnoteRef/>
      </w:r>
      <w:r w:rsidRPr="00C32F28">
        <w:rPr>
          <w:lang w:val="fr-FR"/>
        </w:rPr>
        <w:t xml:space="preserve"> Décret du Conseil de la Communauté française visant à améliorer les conditions matérielles des établissements de l’enseignement fondamental et secondaire, MB</w:t>
      </w:r>
      <w:r w:rsidR="0087122F" w:rsidRPr="00C32F28">
        <w:rPr>
          <w:lang w:val="fr-FR"/>
        </w:rPr>
        <w:t xml:space="preserve"> du</w:t>
      </w:r>
      <w:r w:rsidRPr="00C32F28">
        <w:rPr>
          <w:lang w:val="fr-FR"/>
        </w:rPr>
        <w:t xml:space="preserve"> 2 août 2001.</w:t>
      </w:r>
    </w:p>
  </w:footnote>
  <w:footnote w:id="104">
    <w:p w14:paraId="1150A3FF" w14:textId="13325BCD" w:rsidR="009E72D3" w:rsidRPr="00C32F28" w:rsidRDefault="009E72D3" w:rsidP="009E72D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color w:val="FF0000"/>
          <w:sz w:val="20"/>
        </w:rPr>
      </w:pPr>
      <w:r w:rsidRPr="00C32F28">
        <w:rPr>
          <w:rStyle w:val="Appelnotedebasdep"/>
          <w:sz w:val="20"/>
        </w:rPr>
        <w:footnoteRef/>
      </w:r>
      <w:r w:rsidRPr="00C32F28">
        <w:rPr>
          <w:sz w:val="20"/>
        </w:rPr>
        <w:t xml:space="preserve"> J. BRASSINNE, « </w:t>
      </w:r>
      <w:r w:rsidRPr="00C32F28">
        <w:rPr>
          <w:iCs/>
          <w:sz w:val="20"/>
        </w:rPr>
        <w:t>Les négociations communautaires sous le gouvernement Verhofstadt II »</w:t>
      </w:r>
      <w:r w:rsidRPr="00C32F28">
        <w:rPr>
          <w:sz w:val="20"/>
        </w:rPr>
        <w:t xml:space="preserve"> </w:t>
      </w:r>
      <w:r w:rsidRPr="00C32F28">
        <w:rPr>
          <w:i/>
          <w:sz w:val="20"/>
        </w:rPr>
        <w:t>Courrier hebdomadaire du CRISP</w:t>
      </w:r>
      <w:r w:rsidRPr="00C32F28">
        <w:rPr>
          <w:sz w:val="20"/>
        </w:rPr>
        <w:t>, n° 1903-1904, 2005 ; B. Bayenet et al, 2011.</w:t>
      </w:r>
      <w:r w:rsidR="00B40A78">
        <w:rPr>
          <w:sz w:val="20"/>
        </w:rPr>
        <w:t xml:space="preserve"> Pour une analyse, </w:t>
      </w:r>
      <w:proofErr w:type="spellStart"/>
      <w:r w:rsidR="00B40A78">
        <w:rPr>
          <w:sz w:val="20"/>
        </w:rPr>
        <w:t>voy</w:t>
      </w:r>
      <w:proofErr w:type="spellEnd"/>
      <w:r w:rsidR="00B40A78">
        <w:rPr>
          <w:sz w:val="20"/>
        </w:rPr>
        <w:t>. notamment BAYENET et PAGANO, 2011.</w:t>
      </w:r>
    </w:p>
  </w:footnote>
  <w:footnote w:id="105">
    <w:p w14:paraId="32AEBEF8" w14:textId="62A3221E" w:rsidR="003601BC" w:rsidRPr="00C32F28" w:rsidRDefault="003601BC" w:rsidP="003601BC">
      <w:pPr>
        <w:pStyle w:val="Notedebasdepage"/>
        <w:tabs>
          <w:tab w:val="left" w:pos="2347"/>
        </w:tabs>
        <w:rPr>
          <w:lang w:val="fr-BE"/>
        </w:rPr>
      </w:pPr>
      <w:r w:rsidRPr="00C32F28">
        <w:rPr>
          <w:rStyle w:val="Appelnotedebasdep"/>
        </w:rPr>
        <w:footnoteRef/>
      </w:r>
      <w:r w:rsidRPr="00747263">
        <w:rPr>
          <w:lang w:val="fr-BE"/>
        </w:rPr>
        <w:t xml:space="preserve"> </w:t>
      </w:r>
      <w:r w:rsidR="004F6D79" w:rsidRPr="00804DBF">
        <w:rPr>
          <w:lang w:val="fr-BE"/>
        </w:rPr>
        <w:t xml:space="preserve">CATTOIR, Ph., LAMBERT, J.-P., TAYMANS, M., TULKENS, H., VAN DER STICHELE, G. et M. VERDONCK (1999a), Les Modes alternatifs de financement de Bruxelles, </w:t>
      </w:r>
      <w:proofErr w:type="spellStart"/>
      <w:r w:rsidR="004F6D79" w:rsidRPr="00804DBF">
        <w:rPr>
          <w:lang w:val="fr-BE"/>
        </w:rPr>
        <w:t>Research</w:t>
      </w:r>
      <w:proofErr w:type="spellEnd"/>
      <w:r w:rsidR="004F6D79" w:rsidRPr="00804DBF">
        <w:rPr>
          <w:lang w:val="fr-BE"/>
        </w:rPr>
        <w:t xml:space="preserve"> for M. Rufin </w:t>
      </w:r>
      <w:proofErr w:type="spellStart"/>
      <w:r w:rsidR="004F6D79" w:rsidRPr="00804DBF">
        <w:rPr>
          <w:lang w:val="fr-BE"/>
        </w:rPr>
        <w:t>Grijp</w:t>
      </w:r>
      <w:proofErr w:type="spellEnd"/>
      <w:r w:rsidR="004F6D79" w:rsidRPr="00804DBF">
        <w:rPr>
          <w:lang w:val="fr-BE"/>
        </w:rPr>
        <w:t xml:space="preserve">, </w:t>
      </w:r>
      <w:proofErr w:type="spellStart"/>
      <w:r w:rsidR="004F6D79" w:rsidRPr="00804DBF">
        <w:rPr>
          <w:lang w:val="fr-BE"/>
        </w:rPr>
        <w:t>Minister</w:t>
      </w:r>
      <w:proofErr w:type="spellEnd"/>
      <w:r w:rsidR="004F6D79" w:rsidRPr="00804DBF">
        <w:rPr>
          <w:lang w:val="fr-BE"/>
        </w:rPr>
        <w:t xml:space="preserve"> for </w:t>
      </w:r>
      <w:proofErr w:type="spellStart"/>
      <w:r w:rsidR="004F6D79" w:rsidRPr="00804DBF">
        <w:rPr>
          <w:lang w:val="fr-BE"/>
        </w:rPr>
        <w:t>scientific</w:t>
      </w:r>
      <w:proofErr w:type="spellEnd"/>
      <w:r w:rsidR="004F6D79" w:rsidRPr="00804DBF">
        <w:rPr>
          <w:lang w:val="fr-BE"/>
        </w:rPr>
        <w:t xml:space="preserve"> </w:t>
      </w:r>
      <w:proofErr w:type="spellStart"/>
      <w:r w:rsidR="004F6D79" w:rsidRPr="00804DBF">
        <w:rPr>
          <w:lang w:val="fr-BE"/>
        </w:rPr>
        <w:t>research</w:t>
      </w:r>
      <w:proofErr w:type="spellEnd"/>
      <w:r w:rsidR="004F6D79" w:rsidRPr="00804DBF">
        <w:rPr>
          <w:lang w:val="fr-BE"/>
        </w:rPr>
        <w:t>, Brussels</w:t>
      </w:r>
      <w:r w:rsidR="00D60207" w:rsidRPr="00804DBF">
        <w:rPr>
          <w:lang w:val="fr-BE"/>
        </w:rPr>
        <w:t xml:space="preserve"> </w:t>
      </w:r>
      <w:r w:rsidR="004F6D79" w:rsidRPr="00804DBF">
        <w:rPr>
          <w:lang w:val="fr-BE"/>
        </w:rPr>
        <w:t xml:space="preserve">Capital </w:t>
      </w:r>
      <w:proofErr w:type="spellStart"/>
      <w:r w:rsidR="004F6D79" w:rsidRPr="00804DBF">
        <w:rPr>
          <w:lang w:val="fr-BE"/>
        </w:rPr>
        <w:t>Region</w:t>
      </w:r>
      <w:proofErr w:type="spellEnd"/>
      <w:r w:rsidR="004F6D79" w:rsidRPr="00804DBF">
        <w:rPr>
          <w:lang w:val="fr-BE"/>
        </w:rPr>
        <w:t>.</w:t>
      </w:r>
    </w:p>
  </w:footnote>
  <w:footnote w:id="106">
    <w:p w14:paraId="2E7C6657" w14:textId="03B472C9" w:rsidR="0030648C" w:rsidRPr="00C32F28" w:rsidRDefault="0030648C" w:rsidP="0030648C">
      <w:pPr>
        <w:pStyle w:val="Notedebasdepage"/>
        <w:rPr>
          <w:lang w:val="fr-BE"/>
        </w:rPr>
      </w:pPr>
      <w:r w:rsidRPr="00C32F28">
        <w:rPr>
          <w:rStyle w:val="Appelnotedebasdep"/>
        </w:rPr>
        <w:footnoteRef/>
      </w:r>
      <w:r w:rsidRPr="00747263">
        <w:rPr>
          <w:lang w:val="fr-BE"/>
        </w:rPr>
        <w:t xml:space="preserve"> </w:t>
      </w:r>
      <w:r w:rsidRPr="00C32F28">
        <w:rPr>
          <w:lang w:val="fr-BE"/>
        </w:rPr>
        <w:t>Ph. CATTOIR, VAESEN J., VERDONCK M., VAN DER STICHELE G. et P. Z</w:t>
      </w:r>
      <w:r w:rsidR="000C3265" w:rsidRPr="00C32F28">
        <w:rPr>
          <w:lang w:val="fr-BE"/>
        </w:rPr>
        <w:t>IMMER</w:t>
      </w:r>
      <w:r w:rsidRPr="00C32F28">
        <w:rPr>
          <w:lang w:val="fr-BE"/>
        </w:rPr>
        <w:t xml:space="preserve">, </w:t>
      </w:r>
      <w:r w:rsidRPr="00C32F28">
        <w:rPr>
          <w:i/>
          <w:iCs/>
          <w:lang w:val="fr-BE"/>
        </w:rPr>
        <w:t>Finances publiques à Bruxelles</w:t>
      </w:r>
      <w:r w:rsidRPr="00747263">
        <w:rPr>
          <w:i/>
          <w:iCs/>
          <w:lang w:val="fr-BE"/>
        </w:rPr>
        <w:t> : analyse et enjeux</w:t>
      </w:r>
      <w:r w:rsidRPr="00C32F28">
        <w:rPr>
          <w:lang w:val="fr-BE"/>
        </w:rPr>
        <w:t>, C</w:t>
      </w:r>
      <w:r w:rsidR="000C3265" w:rsidRPr="00C32F28">
        <w:rPr>
          <w:lang w:val="fr-BE"/>
        </w:rPr>
        <w:t>ourrier hebdomadaire</w:t>
      </w:r>
      <w:r w:rsidRPr="00C32F28">
        <w:rPr>
          <w:lang w:val="fr-BE"/>
        </w:rPr>
        <w:t xml:space="preserve"> du C</w:t>
      </w:r>
      <w:r w:rsidR="000C3265" w:rsidRPr="00C32F28">
        <w:rPr>
          <w:lang w:val="fr-BE"/>
        </w:rPr>
        <w:t>RISP, n°</w:t>
      </w:r>
      <w:r w:rsidRPr="00C32F28">
        <w:rPr>
          <w:lang w:val="fr-BE"/>
        </w:rPr>
        <w:t xml:space="preserve"> 2007-2008, 2009</w:t>
      </w:r>
      <w:r w:rsidR="000C3265" w:rsidRPr="00C32F28">
        <w:rPr>
          <w:lang w:val="fr-BE"/>
        </w:rPr>
        <w:t>.</w:t>
      </w:r>
    </w:p>
  </w:footnote>
  <w:footnote w:id="107">
    <w:p w14:paraId="74E0EBCF" w14:textId="101F8CD8" w:rsidR="003601BC" w:rsidRPr="00C32F28" w:rsidRDefault="003601BC" w:rsidP="003601BC">
      <w:pPr>
        <w:pStyle w:val="Notedebasdepage"/>
        <w:rPr>
          <w:lang w:val="fr-BE"/>
        </w:rPr>
      </w:pPr>
      <w:r w:rsidRPr="00C32F28">
        <w:rPr>
          <w:rStyle w:val="Appelnotedebasdep"/>
        </w:rPr>
        <w:footnoteRef/>
      </w:r>
      <w:r w:rsidRPr="00747263">
        <w:rPr>
          <w:lang w:val="fr-BE"/>
        </w:rPr>
        <w:t xml:space="preserve"> </w:t>
      </w:r>
      <w:r w:rsidRPr="00C32F28">
        <w:rPr>
          <w:lang w:val="fr-BE"/>
        </w:rPr>
        <w:t xml:space="preserve">Pour une analyse voir notamment P. </w:t>
      </w:r>
      <w:r w:rsidR="00606389" w:rsidRPr="00C32F28">
        <w:rPr>
          <w:lang w:val="fr-BE"/>
        </w:rPr>
        <w:t xml:space="preserve">ZIMMER, </w:t>
      </w:r>
      <w:r w:rsidRPr="00C32F28">
        <w:rPr>
          <w:i/>
          <w:iCs/>
          <w:lang w:val="fr-BE"/>
        </w:rPr>
        <w:t>La situation budgétaire de la Région de Bruxelles-Capitale</w:t>
      </w:r>
      <w:r w:rsidRPr="00C32F28">
        <w:rPr>
          <w:lang w:val="fr-BE"/>
        </w:rPr>
        <w:t>, Courrier hebdomadaire du CRISP, 1941, 2006</w:t>
      </w:r>
      <w:r w:rsidR="00606389" w:rsidRPr="00C32F28">
        <w:rPr>
          <w:lang w:val="fr-BE"/>
        </w:rPr>
        <w:t>.</w:t>
      </w:r>
    </w:p>
  </w:footnote>
  <w:footnote w:id="108">
    <w:p w14:paraId="2AA69500" w14:textId="7137135B" w:rsidR="003F374B" w:rsidRPr="00C32F28" w:rsidRDefault="003F374B" w:rsidP="003F374B">
      <w:pPr>
        <w:pStyle w:val="Notedebasdepage"/>
        <w:rPr>
          <w:lang w:val="fr-BE"/>
        </w:rPr>
      </w:pPr>
      <w:r w:rsidRPr="00C32F28">
        <w:rPr>
          <w:rStyle w:val="Appelnotedebasdep"/>
        </w:rPr>
        <w:footnoteRef/>
      </w:r>
      <w:r w:rsidRPr="00C32F28">
        <w:rPr>
          <w:color w:val="231F20"/>
          <w:shd w:val="clear" w:color="auto" w:fill="FFFFFF"/>
          <w:lang w:val="fr-BE"/>
        </w:rPr>
        <w:t xml:space="preserve">Bruxelles bénéficie également d’une autre source de financement via l’accord </w:t>
      </w:r>
      <w:proofErr w:type="spellStart"/>
      <w:r w:rsidRPr="00C32F28">
        <w:rPr>
          <w:color w:val="231F20"/>
          <w:shd w:val="clear" w:color="auto" w:fill="FFFFFF"/>
          <w:lang w:val="fr-BE"/>
        </w:rPr>
        <w:t>Beliris</w:t>
      </w:r>
      <w:proofErr w:type="spellEnd"/>
      <w:r w:rsidRPr="00C32F28">
        <w:rPr>
          <w:color w:val="231F20"/>
          <w:shd w:val="clear" w:color="auto" w:fill="FFFFFF"/>
          <w:lang w:val="fr-BE"/>
        </w:rPr>
        <w:t xml:space="preserve"> (accord de coopération entre l’Etat fédéral et la Région du 15 septembre 1993). Cet accord se base sur l’article 43 de la loi spéciale du 12 janvier 1989 qui prévoit un mécanisme de coopération particulier : un comité de coopération à créer délibère selon la procédure du consensus, des initiatives que peuvent prendre en commun l’Etat fédéral et la Région en vue de favoriser et de promouvoir le rôle international et la fonction de capital</w:t>
      </w:r>
      <w:r w:rsidR="003C0BE7">
        <w:rPr>
          <w:color w:val="231F20"/>
          <w:shd w:val="clear" w:color="auto" w:fill="FFFFFF"/>
          <w:lang w:val="fr-BE"/>
        </w:rPr>
        <w:t>e</w:t>
      </w:r>
      <w:r w:rsidRPr="00C32F28">
        <w:rPr>
          <w:color w:val="231F20"/>
          <w:shd w:val="clear" w:color="auto" w:fill="FFFFFF"/>
          <w:lang w:val="fr-BE"/>
        </w:rPr>
        <w:t xml:space="preserve"> de Bruxelles. Ces initiatives peuvent être </w:t>
      </w:r>
      <w:r w:rsidR="003C0BE7">
        <w:rPr>
          <w:color w:val="231F20"/>
          <w:shd w:val="clear" w:color="auto" w:fill="FFFFFF"/>
          <w:lang w:val="fr-BE"/>
        </w:rPr>
        <w:t xml:space="preserve">en </w:t>
      </w:r>
      <w:r w:rsidRPr="00C32F28">
        <w:rPr>
          <w:color w:val="231F20"/>
          <w:shd w:val="clear" w:color="auto" w:fill="FFFFFF"/>
          <w:lang w:val="fr-BE"/>
        </w:rPr>
        <w:t xml:space="preserve">tout ou partie supportées par le budget de l’Etat. Il s’agit d’une source spécifique de financement pour Bruxelles qui n’est pas comptabilisée dans son budget. Ces moyens ont été renforcé dans le cadre de la sixième réforme de l’Etat. </w:t>
      </w:r>
      <w:r w:rsidRPr="00C32F28">
        <w:rPr>
          <w:lang w:val="fr-BE"/>
        </w:rPr>
        <w:t xml:space="preserve">Pour une analyse voir notamment P. ZIMMER, </w:t>
      </w:r>
      <w:r w:rsidRPr="00C32F28">
        <w:rPr>
          <w:i/>
          <w:iCs/>
          <w:lang w:val="fr-BE"/>
        </w:rPr>
        <w:t>La situation budgétaire de la Région de Bruxelles-Capitale</w:t>
      </w:r>
      <w:r w:rsidRPr="00C32F28">
        <w:rPr>
          <w:lang w:val="fr-BE"/>
        </w:rPr>
        <w:t>, Courrier hebdomadaire du CRISP, 1941, 2006 et BAYENET et al, 2017.</w:t>
      </w:r>
    </w:p>
  </w:footnote>
  <w:footnote w:id="109">
    <w:p w14:paraId="2D1560C6" w14:textId="77777777" w:rsidR="00606389" w:rsidRPr="00C32F28" w:rsidRDefault="00606389" w:rsidP="00606389">
      <w:pPr>
        <w:pStyle w:val="Notedebasdepage"/>
        <w:rPr>
          <w:lang w:val="fr-BE"/>
        </w:rPr>
      </w:pPr>
      <w:r w:rsidRPr="00C32F28">
        <w:rPr>
          <w:rStyle w:val="Appelnotedebasdep"/>
        </w:rPr>
        <w:footnoteRef/>
      </w:r>
      <w:r w:rsidRPr="00747263">
        <w:rPr>
          <w:lang w:val="fr-BE"/>
        </w:rPr>
        <w:t xml:space="preserve"> </w:t>
      </w:r>
      <w:r w:rsidRPr="00C32F28">
        <w:rPr>
          <w:lang w:val="fr-BE"/>
        </w:rPr>
        <w:t>Pour une analyse du refinancement de Bruxelles, voir BAYENET et al, 2017.</w:t>
      </w:r>
    </w:p>
  </w:footnote>
  <w:footnote w:id="110">
    <w:p w14:paraId="19BF84AB" w14:textId="51AB3C53" w:rsidR="000678F1" w:rsidRPr="00C32F28" w:rsidRDefault="000678F1">
      <w:pPr>
        <w:pStyle w:val="Notedebasdepage"/>
        <w:rPr>
          <w:lang w:val="fr-BE"/>
        </w:rPr>
      </w:pPr>
      <w:r w:rsidRPr="00C32F28">
        <w:rPr>
          <w:rStyle w:val="Appelnotedebasdep"/>
        </w:rPr>
        <w:footnoteRef/>
      </w:r>
      <w:r w:rsidRPr="00747263">
        <w:rPr>
          <w:lang w:val="fr-BE"/>
        </w:rPr>
        <w:t xml:space="preserve"> </w:t>
      </w:r>
      <w:r w:rsidRPr="00C32F28">
        <w:rPr>
          <w:lang w:val="fr-BE"/>
        </w:rPr>
        <w:t xml:space="preserve">En fait, lors de la dernière réforme de l’Etat, il a été décidé de transférer l’ensemble des moyens liés aux compétences </w:t>
      </w:r>
      <w:r w:rsidR="00E007FA" w:rsidRPr="00C32F28">
        <w:rPr>
          <w:lang w:val="fr-BE"/>
        </w:rPr>
        <w:t>« santé » et « aides aux personnes » à la COCOM sur le territoire de la région bilingue de Bruxelles-Capitale et aux deux autres Communautés sur le territoire linguistique respectif et ce même si, pour certaines compétences, les Communautés flamande et française peuvent continuer à exercer certaines compétences sur le territoire de Bruxelles-Capitale vis-à-vis d’institutions mono-communautaires (BAYENET et al, 2017).</w:t>
      </w:r>
    </w:p>
  </w:footnote>
  <w:footnote w:id="111">
    <w:p w14:paraId="16A3396C" w14:textId="588D14C0" w:rsidR="00971FA7" w:rsidRPr="00C32F28" w:rsidRDefault="00971FA7">
      <w:pPr>
        <w:pStyle w:val="Notedebasdepage"/>
        <w:rPr>
          <w:lang w:val="fr-BE"/>
        </w:rPr>
      </w:pPr>
      <w:r w:rsidRPr="00C32F28">
        <w:rPr>
          <w:rStyle w:val="Appelnotedebasdep"/>
        </w:rPr>
        <w:footnoteRef/>
      </w:r>
      <w:r w:rsidRPr="00747263">
        <w:rPr>
          <w:lang w:val="fr-BE"/>
        </w:rPr>
        <w:t xml:space="preserve"> N</w:t>
      </w:r>
      <w:r w:rsidR="006145C7" w:rsidRPr="00747263">
        <w:rPr>
          <w:lang w:val="fr-BE"/>
        </w:rPr>
        <w:t>ASSAUX</w:t>
      </w:r>
      <w:r w:rsidRPr="00747263">
        <w:rPr>
          <w:lang w:val="fr-BE"/>
        </w:rPr>
        <w:t xml:space="preserve"> J.-P., </w:t>
      </w:r>
      <w:r w:rsidRPr="00747263">
        <w:rPr>
          <w:i/>
          <w:iCs/>
          <w:lang w:val="fr-BE"/>
        </w:rPr>
        <w:t>La commission Communautaire française, une institution fragilisée ?</w:t>
      </w:r>
      <w:r w:rsidRPr="00747263">
        <w:rPr>
          <w:lang w:val="fr-BE"/>
        </w:rPr>
        <w:t xml:space="preserve"> Les analyses du </w:t>
      </w:r>
      <w:proofErr w:type="spellStart"/>
      <w:r w:rsidRPr="00747263">
        <w:rPr>
          <w:lang w:val="fr-BE"/>
        </w:rPr>
        <w:t>Crisp</w:t>
      </w:r>
      <w:proofErr w:type="spellEnd"/>
      <w:r w:rsidRPr="00747263">
        <w:rPr>
          <w:lang w:val="fr-BE"/>
        </w:rPr>
        <w:t xml:space="preserve"> en ligne, 19 janvier 2016.</w:t>
      </w:r>
    </w:p>
  </w:footnote>
  <w:footnote w:id="112">
    <w:p w14:paraId="2B270F7A" w14:textId="597BB185" w:rsidR="00616477" w:rsidRPr="00616477" w:rsidRDefault="00616477">
      <w:pPr>
        <w:pStyle w:val="Notedebasdepage"/>
        <w:rPr>
          <w:lang w:val="fr-BE"/>
        </w:rPr>
      </w:pPr>
      <w:r>
        <w:rPr>
          <w:rStyle w:val="Appelnotedebasdep"/>
        </w:rPr>
        <w:footnoteRef/>
      </w:r>
      <w:r>
        <w:t xml:space="preserve"> BAYENET et al, 2017.</w:t>
      </w:r>
    </w:p>
  </w:footnote>
  <w:footnote w:id="113">
    <w:p w14:paraId="6442D55F" w14:textId="6A0C13EF" w:rsidR="00F950B8" w:rsidRPr="00C32F28" w:rsidRDefault="00F950B8">
      <w:pPr>
        <w:pStyle w:val="Notedebasdepage"/>
        <w:rPr>
          <w:lang w:val="fr-BE"/>
        </w:rPr>
      </w:pPr>
      <w:r w:rsidRPr="00C32F28">
        <w:rPr>
          <w:rStyle w:val="Appelnotedebasdep"/>
        </w:rPr>
        <w:footnoteRef/>
      </w:r>
      <w:r w:rsidRPr="00747263">
        <w:rPr>
          <w:lang w:val="fr-BE"/>
        </w:rPr>
        <w:t xml:space="preserve"> </w:t>
      </w:r>
      <w:r w:rsidRPr="00C32F28">
        <w:rPr>
          <w:lang w:val="fr-BE"/>
        </w:rPr>
        <w:t xml:space="preserve">J.-P. NASSAUX, </w:t>
      </w:r>
      <w:r w:rsidRPr="00C32F28">
        <w:rPr>
          <w:i/>
          <w:iCs/>
          <w:lang w:val="fr-BE"/>
        </w:rPr>
        <w:t>Le retour du débat institutionnel bruxellois (2016-2018),</w:t>
      </w:r>
      <w:r w:rsidRPr="00C32F28">
        <w:rPr>
          <w:lang w:val="fr-BE"/>
        </w:rPr>
        <w:t xml:space="preserve"> Courrier hebdomadaire du CRISP, n°2374, 2018.</w:t>
      </w:r>
    </w:p>
  </w:footnote>
  <w:footnote w:id="114">
    <w:p w14:paraId="23B6D9EC" w14:textId="77777777" w:rsidR="003916F9" w:rsidRPr="00C32F28" w:rsidRDefault="003916F9" w:rsidP="003916F9">
      <w:pPr>
        <w:pStyle w:val="Notedebasdepage"/>
        <w:rPr>
          <w:lang w:val="fr-BE"/>
        </w:rPr>
      </w:pPr>
      <w:r w:rsidRPr="00C32F28">
        <w:rPr>
          <w:rStyle w:val="Appelnotedebasdep"/>
        </w:rPr>
        <w:footnoteRef/>
      </w:r>
      <w:r w:rsidRPr="00C32F28">
        <w:rPr>
          <w:lang w:val="fr-BE"/>
        </w:rPr>
        <w:t xml:space="preserve"> </w:t>
      </w:r>
      <w:proofErr w:type="spellStart"/>
      <w:r w:rsidRPr="00C32F28">
        <w:rPr>
          <w:lang w:val="fr-BE"/>
        </w:rPr>
        <w:t>Voy</w:t>
      </w:r>
      <w:proofErr w:type="spellEnd"/>
      <w:r w:rsidRPr="00C32F28">
        <w:rPr>
          <w:lang w:val="fr-BE"/>
        </w:rPr>
        <w:t xml:space="preserve">., notamment, sur la motivation de ce transfert, </w:t>
      </w:r>
      <w:r w:rsidRPr="00C32F28">
        <w:rPr>
          <w:i/>
          <w:lang w:val="fr-BE"/>
        </w:rPr>
        <w:t xml:space="preserve">Doc. </w:t>
      </w:r>
      <w:proofErr w:type="spellStart"/>
      <w:r w:rsidRPr="00C32F28">
        <w:rPr>
          <w:i/>
          <w:lang w:val="fr-BE"/>
        </w:rPr>
        <w:t>Parl</w:t>
      </w:r>
      <w:proofErr w:type="spellEnd"/>
      <w:r w:rsidRPr="00C32F28">
        <w:rPr>
          <w:i/>
          <w:lang w:val="fr-BE"/>
        </w:rPr>
        <w:t>.,</w:t>
      </w:r>
      <w:r w:rsidRPr="00C32F28">
        <w:rPr>
          <w:lang w:val="fr-BE"/>
        </w:rPr>
        <w:t xml:space="preserve"> Parlement de la Communauté française, 2013-2014, n° 587/1, p. 5 ; </w:t>
      </w:r>
      <w:r w:rsidRPr="00C32F28">
        <w:rPr>
          <w:i/>
          <w:lang w:val="fr-BE"/>
        </w:rPr>
        <w:t xml:space="preserve">Doc. </w:t>
      </w:r>
      <w:proofErr w:type="spellStart"/>
      <w:r w:rsidRPr="00C32F28">
        <w:rPr>
          <w:i/>
          <w:lang w:val="fr-BE"/>
        </w:rPr>
        <w:t>Parl</w:t>
      </w:r>
      <w:proofErr w:type="spellEnd"/>
      <w:r w:rsidRPr="00C32F28">
        <w:rPr>
          <w:i/>
          <w:lang w:val="fr-BE"/>
        </w:rPr>
        <w:t>.,</w:t>
      </w:r>
      <w:r w:rsidRPr="00C32F28">
        <w:rPr>
          <w:lang w:val="fr-BE"/>
        </w:rPr>
        <w:t xml:space="preserve"> Parlement wallon, 2013-2014, n° 923/1, p. 3. </w:t>
      </w:r>
    </w:p>
  </w:footnote>
  <w:footnote w:id="115">
    <w:p w14:paraId="38D3059B" w14:textId="3FDF8FB3" w:rsidR="003916F9" w:rsidRPr="00C32F28" w:rsidRDefault="003916F9" w:rsidP="003916F9">
      <w:pPr>
        <w:pStyle w:val="Notedebasdepage"/>
        <w:rPr>
          <w:lang w:val="fr-BE"/>
        </w:rPr>
      </w:pPr>
      <w:r w:rsidRPr="00C32F28">
        <w:rPr>
          <w:rStyle w:val="Appelnotedebasdep"/>
        </w:rPr>
        <w:footnoteRef/>
      </w:r>
      <w:r w:rsidR="007771B2">
        <w:rPr>
          <w:lang w:val="fr-BE"/>
        </w:rPr>
        <w:t>Selon l’art. 138 de la Constitution, c</w:t>
      </w:r>
      <w:r w:rsidRPr="00C32F28">
        <w:rPr>
          <w:iCs/>
          <w:lang w:val="fr-BE"/>
        </w:rPr>
        <w:t>es décrets sont adoptés à la majorité des deux tiers des suffrages exprimés au sein du Parlement de la Communauté française et à la majorité absolue des suffrages exprimés au sein du Parlement de la Région wallonne et du groupe linguistique français du Parlement de la Région de Bruxelles-Capitale, à condition que la majorité des membres du Parlement ou du groupe linguistique concerné soit présente. Ils peuvent régler le financement des compétences qu'ils désignent, ainsi que le transfert du personnel, des biens, droits et obligations qui les concernent</w:t>
      </w:r>
      <w:r w:rsidR="007771B2">
        <w:rPr>
          <w:iCs/>
          <w:lang w:val="fr-BE"/>
        </w:rPr>
        <w:t>.</w:t>
      </w:r>
    </w:p>
  </w:footnote>
  <w:footnote w:id="116">
    <w:p w14:paraId="38FCB575" w14:textId="6D1970ED" w:rsidR="00616477" w:rsidRPr="00616477" w:rsidRDefault="00616477">
      <w:pPr>
        <w:pStyle w:val="Notedebasdepage"/>
        <w:rPr>
          <w:lang w:val="fr-BE"/>
        </w:rPr>
      </w:pPr>
      <w:r>
        <w:rPr>
          <w:rStyle w:val="Appelnotedebasdep"/>
        </w:rPr>
        <w:footnoteRef/>
      </w:r>
      <w:r>
        <w:t xml:space="preserve"> </w:t>
      </w:r>
      <w:r w:rsidRPr="001D4082">
        <w:t>BAYENET et al, 2017.</w:t>
      </w:r>
    </w:p>
  </w:footnote>
  <w:footnote w:id="117">
    <w:p w14:paraId="3DE3FD0F" w14:textId="3A945108" w:rsidR="00EB207D" w:rsidRPr="00C32F28" w:rsidRDefault="00EB207D">
      <w:pPr>
        <w:pStyle w:val="Notedebasdepage"/>
        <w:rPr>
          <w:lang w:val="fr-BE"/>
        </w:rPr>
      </w:pPr>
      <w:r w:rsidRPr="00C32F28">
        <w:rPr>
          <w:rStyle w:val="Appelnotedebasdep"/>
        </w:rPr>
        <w:footnoteRef/>
      </w:r>
      <w:r w:rsidRPr="00747263">
        <w:rPr>
          <w:lang w:val="fr-BE"/>
        </w:rPr>
        <w:t xml:space="preserve"> </w:t>
      </w:r>
      <w:r w:rsidR="00666030" w:rsidRPr="00C32F28">
        <w:rPr>
          <w:lang w:val="fr-BE"/>
        </w:rPr>
        <w:t>Même</w:t>
      </w:r>
      <w:r w:rsidRPr="00C32F28">
        <w:rPr>
          <w:lang w:val="fr-BE"/>
        </w:rPr>
        <w:t xml:space="preserve"> si lors de la sixième réforme de l’Etat il a été </w:t>
      </w:r>
      <w:r w:rsidR="00747263" w:rsidRPr="00C32F28">
        <w:rPr>
          <w:lang w:val="fr-BE"/>
        </w:rPr>
        <w:t>expressément</w:t>
      </w:r>
      <w:r w:rsidRPr="00C32F28">
        <w:rPr>
          <w:lang w:val="fr-BE"/>
        </w:rPr>
        <w:t xml:space="preserve"> prévu que le Parlement de la Région de Bruxelles-Capitale pouvait octroyer une dotation à la COCOM (art. 83ter §4 de la loi spéciale du 12 janvier 1989.</w:t>
      </w:r>
    </w:p>
  </w:footnote>
  <w:footnote w:id="118">
    <w:p w14:paraId="7463233F" w14:textId="5138CD5B" w:rsidR="00616477" w:rsidRPr="00616477" w:rsidRDefault="00616477">
      <w:pPr>
        <w:pStyle w:val="Notedebasdepage"/>
        <w:rPr>
          <w:lang w:val="fr-BE"/>
        </w:rPr>
      </w:pPr>
      <w:r>
        <w:rPr>
          <w:rStyle w:val="Appelnotedebasdep"/>
        </w:rPr>
        <w:footnoteRef/>
      </w:r>
      <w:r>
        <w:t xml:space="preserve"> </w:t>
      </w:r>
      <w:r w:rsidRPr="00B964FE">
        <w:t>SAGESSER et al, 2008</w:t>
      </w:r>
      <w:r>
        <w:t>.</w:t>
      </w:r>
    </w:p>
  </w:footnote>
  <w:footnote w:id="119">
    <w:p w14:paraId="635376B8" w14:textId="77777777" w:rsidR="00554BEC" w:rsidRPr="00747263" w:rsidRDefault="00554BEC" w:rsidP="00554BEC">
      <w:pPr>
        <w:pStyle w:val="Notedebasdepage"/>
        <w:rPr>
          <w:lang w:val="fr-BE"/>
        </w:rPr>
      </w:pPr>
      <w:r w:rsidRPr="00747263">
        <w:rPr>
          <w:rStyle w:val="Appelnotedebasdep"/>
          <w:lang w:val="fr-BE"/>
        </w:rPr>
        <w:footnoteRef/>
      </w:r>
      <w:r w:rsidRPr="00747263">
        <w:rPr>
          <w:lang w:val="fr-BE"/>
        </w:rPr>
        <w:t xml:space="preserve"> S. T</w:t>
      </w:r>
      <w:r w:rsidRPr="00747263">
        <w:rPr>
          <w:smallCaps/>
          <w:lang w:val="fr-BE"/>
        </w:rPr>
        <w:t>homas</w:t>
      </w:r>
      <w:r w:rsidRPr="00747263">
        <w:rPr>
          <w:lang w:val="fr-BE"/>
        </w:rPr>
        <w:t xml:space="preserve">, « Les relations entre la Communauté germanophone et la Région wallonne », </w:t>
      </w:r>
      <w:r w:rsidRPr="00747263">
        <w:rPr>
          <w:i/>
          <w:lang w:val="fr-BE"/>
        </w:rPr>
        <w:t xml:space="preserve">in </w:t>
      </w:r>
      <w:r w:rsidRPr="00747263">
        <w:rPr>
          <w:lang w:val="fr-BE"/>
        </w:rPr>
        <w:t xml:space="preserve">K. </w:t>
      </w:r>
      <w:proofErr w:type="spellStart"/>
      <w:r w:rsidRPr="00747263">
        <w:rPr>
          <w:lang w:val="fr-BE"/>
        </w:rPr>
        <w:t>S</w:t>
      </w:r>
      <w:r w:rsidRPr="00747263">
        <w:rPr>
          <w:smallCaps/>
          <w:lang w:val="fr-BE"/>
        </w:rPr>
        <w:t>tangherlin</w:t>
      </w:r>
      <w:proofErr w:type="spellEnd"/>
      <w:r w:rsidRPr="00747263">
        <w:rPr>
          <w:lang w:val="fr-BE"/>
        </w:rPr>
        <w:t xml:space="preserve"> (éd.), </w:t>
      </w:r>
      <w:r w:rsidRPr="00747263">
        <w:rPr>
          <w:i/>
          <w:lang w:val="fr-BE"/>
        </w:rPr>
        <w:t xml:space="preserve">La Communauté germanophone de Belgique. Die </w:t>
      </w:r>
      <w:proofErr w:type="spellStart"/>
      <w:r w:rsidRPr="00747263">
        <w:rPr>
          <w:i/>
          <w:lang w:val="fr-BE"/>
        </w:rPr>
        <w:t>Deutschsprachige</w:t>
      </w:r>
      <w:proofErr w:type="spellEnd"/>
      <w:r w:rsidRPr="00747263">
        <w:rPr>
          <w:i/>
          <w:lang w:val="fr-BE"/>
        </w:rPr>
        <w:t xml:space="preserve"> Gemeinschaft </w:t>
      </w:r>
      <w:proofErr w:type="spellStart"/>
      <w:r w:rsidRPr="00747263">
        <w:rPr>
          <w:i/>
          <w:lang w:val="fr-BE"/>
        </w:rPr>
        <w:t>Belgiens</w:t>
      </w:r>
      <w:proofErr w:type="spellEnd"/>
      <w:r w:rsidRPr="00747263">
        <w:rPr>
          <w:lang w:val="fr-BE"/>
        </w:rPr>
        <w:t>, Bruxelles, La Charte, 2005, pp. 450 et 472.</w:t>
      </w:r>
    </w:p>
  </w:footnote>
  <w:footnote w:id="120">
    <w:p w14:paraId="61188812" w14:textId="42DB1DD8" w:rsidR="001D4082" w:rsidRPr="001D4082" w:rsidRDefault="001D4082">
      <w:pPr>
        <w:pStyle w:val="Notedebasdepage"/>
        <w:rPr>
          <w:lang w:val="fr-BE"/>
        </w:rPr>
      </w:pPr>
      <w:r>
        <w:rPr>
          <w:rStyle w:val="Appelnotedebasdep"/>
        </w:rPr>
        <w:footnoteRef/>
      </w:r>
      <w:r>
        <w:t xml:space="preserve"> </w:t>
      </w:r>
      <w:r w:rsidRPr="0067409B">
        <w:rPr>
          <w:shd w:val="clear" w:color="auto" w:fill="FAFAFA"/>
        </w:rPr>
        <w:t>C</w:t>
      </w:r>
      <w:r w:rsidRPr="00B964FE">
        <w:rPr>
          <w:shd w:val="clear" w:color="auto" w:fill="FAFAFA"/>
        </w:rPr>
        <w:t>. SAGESSER, 1986</w:t>
      </w:r>
      <w:r>
        <w:rPr>
          <w:shd w:val="clear" w:color="auto" w:fill="FAFAFA"/>
        </w:rPr>
        <w:t>.</w:t>
      </w:r>
    </w:p>
  </w:footnote>
  <w:footnote w:id="121">
    <w:p w14:paraId="13FE5EB1" w14:textId="77777777" w:rsidR="00554BEC" w:rsidRPr="00C32F28" w:rsidRDefault="00554BEC" w:rsidP="00554BEC">
      <w:pPr>
        <w:pStyle w:val="Notedebasdepage"/>
        <w:rPr>
          <w:lang w:val="fr-BE"/>
        </w:rPr>
      </w:pPr>
      <w:r w:rsidRPr="00C32F28">
        <w:rPr>
          <w:rStyle w:val="Appelnotedebasdep"/>
        </w:rPr>
        <w:footnoteRef/>
      </w:r>
      <w:r w:rsidRPr="00747263">
        <w:rPr>
          <w:lang w:val="fr-BE"/>
        </w:rPr>
        <w:t xml:space="preserve"> </w:t>
      </w:r>
      <w:r w:rsidRPr="00C32F28">
        <w:rPr>
          <w:lang w:val="fr-BE"/>
        </w:rPr>
        <w:t xml:space="preserve">C. BEEHRENDT et M. VRANCKEN, </w:t>
      </w:r>
      <w:r w:rsidRPr="00C32F28">
        <w:rPr>
          <w:i/>
          <w:iCs/>
          <w:lang w:val="fr-BE"/>
        </w:rPr>
        <w:t>Principes de droit constitutionnel belge</w:t>
      </w:r>
      <w:r w:rsidRPr="00C32F28">
        <w:rPr>
          <w:lang w:val="fr-BE"/>
        </w:rPr>
        <w:t>, 2</w:t>
      </w:r>
      <w:r w:rsidRPr="00C32F28">
        <w:rPr>
          <w:vertAlign w:val="superscript"/>
          <w:lang w:val="fr-BE"/>
        </w:rPr>
        <w:t>ème</w:t>
      </w:r>
      <w:r w:rsidRPr="00C32F28">
        <w:rPr>
          <w:lang w:val="fr-BE"/>
        </w:rPr>
        <w:t xml:space="preserve"> édition, La Chaire, 2021.</w:t>
      </w:r>
    </w:p>
  </w:footnote>
  <w:footnote w:id="122">
    <w:p w14:paraId="20836AB8" w14:textId="77777777" w:rsidR="00554BEC" w:rsidRPr="00C32F28" w:rsidRDefault="00554BEC" w:rsidP="00554BEC">
      <w:pPr>
        <w:pStyle w:val="Notedebasdepage"/>
        <w:rPr>
          <w:lang w:val="fr-BE"/>
        </w:rPr>
      </w:pPr>
      <w:r w:rsidRPr="00C32F28">
        <w:rPr>
          <w:rStyle w:val="Appelnotedebasdep"/>
        </w:rPr>
        <w:footnoteRef/>
      </w:r>
      <w:r w:rsidRPr="00747263">
        <w:rPr>
          <w:lang w:val="fr-BE"/>
        </w:rPr>
        <w:t xml:space="preserve"> </w:t>
      </w:r>
      <w:r w:rsidRPr="00C32F28">
        <w:rPr>
          <w:lang w:val="fr-BE"/>
        </w:rPr>
        <w:t>Voir BAYENET et al, 2017.</w:t>
      </w:r>
    </w:p>
  </w:footnote>
  <w:footnote w:id="123">
    <w:p w14:paraId="04EAF5DD" w14:textId="73C97158" w:rsidR="000C4276" w:rsidRPr="000C4276" w:rsidRDefault="000C4276">
      <w:pPr>
        <w:pStyle w:val="Notedebasdepage"/>
        <w:rPr>
          <w:lang w:val="fr-BE"/>
        </w:rPr>
      </w:pPr>
      <w:r>
        <w:rPr>
          <w:rStyle w:val="Appelnotedebasdep"/>
        </w:rPr>
        <w:footnoteRef/>
      </w:r>
      <w:r w:rsidRPr="00804DBF">
        <w:rPr>
          <w:lang w:val="fr-BE"/>
        </w:rPr>
        <w:t xml:space="preserve"> </w:t>
      </w:r>
      <w:r>
        <w:rPr>
          <w:lang w:val="fr-BE"/>
        </w:rPr>
        <w:t>Voir BAYENET et al, 2007.</w:t>
      </w:r>
    </w:p>
  </w:footnote>
  <w:footnote w:id="124">
    <w:p w14:paraId="189E7309" w14:textId="7CE0F6BF" w:rsidR="00B22FA0" w:rsidRPr="00B22FA0" w:rsidRDefault="00B22FA0">
      <w:pPr>
        <w:pStyle w:val="Notedebasdepage"/>
        <w:rPr>
          <w:lang w:val="fr-BE"/>
        </w:rPr>
      </w:pPr>
      <w:r>
        <w:rPr>
          <w:rStyle w:val="Appelnotedebasdep"/>
        </w:rPr>
        <w:footnoteRef/>
      </w:r>
      <w:r w:rsidRPr="00804DBF">
        <w:rPr>
          <w:lang w:val="fr-BE"/>
        </w:rPr>
        <w:t xml:space="preserve"> </w:t>
      </w:r>
      <w:r w:rsidRPr="00B22FA0">
        <w:rPr>
          <w:color w:val="000000" w:themeColor="text1"/>
          <w:shd w:val="clear" w:color="auto" w:fill="FFFFFF"/>
          <w:lang w:val="fr-BE"/>
        </w:rPr>
        <w:t xml:space="preserve">En Belgique, </w:t>
      </w:r>
      <w:r>
        <w:rPr>
          <w:color w:val="000000" w:themeColor="text1"/>
          <w:shd w:val="clear" w:color="auto" w:fill="FFFFFF"/>
          <w:lang w:val="fr-BE"/>
        </w:rPr>
        <w:t xml:space="preserve">un « navetteur » est une </w:t>
      </w:r>
      <w:r w:rsidRPr="00B22FA0">
        <w:rPr>
          <w:color w:val="000000" w:themeColor="text1"/>
          <w:shd w:val="clear" w:color="auto" w:fill="FFFFFF"/>
          <w:lang w:val="fr-BE"/>
        </w:rPr>
        <w:t xml:space="preserve">personne qui se déplace quotidiennement </w:t>
      </w:r>
      <w:r>
        <w:rPr>
          <w:color w:val="000000" w:themeColor="text1"/>
          <w:shd w:val="clear" w:color="auto" w:fill="FFFFFF"/>
          <w:lang w:val="fr-BE"/>
        </w:rPr>
        <w:t>e</w:t>
      </w:r>
      <w:r w:rsidRPr="00B22FA0">
        <w:rPr>
          <w:color w:val="000000" w:themeColor="text1"/>
          <w:shd w:val="clear" w:color="auto" w:fill="FFFFFF"/>
          <w:lang w:val="fr-BE"/>
        </w:rPr>
        <w:t>ntre son domicile et son lieu de travail.</w:t>
      </w:r>
      <w:r>
        <w:rPr>
          <w:color w:val="000000" w:themeColor="text1"/>
          <w:shd w:val="clear" w:color="auto" w:fill="FFFFFF"/>
          <w:lang w:val="fr-BE"/>
        </w:rPr>
        <w:t xml:space="preserve"> Dans le cadre des débats institutionnels, ce déplacement sous-entend entre deux régions linguistiques différentes.</w:t>
      </w:r>
    </w:p>
  </w:footnote>
  <w:footnote w:id="125">
    <w:p w14:paraId="693C78D5" w14:textId="79A4312E" w:rsidR="0068679E" w:rsidRPr="00C32F28" w:rsidRDefault="0068679E">
      <w:pPr>
        <w:pStyle w:val="Notedebasdepage"/>
        <w:rPr>
          <w:lang w:val="fr-BE"/>
        </w:rPr>
      </w:pPr>
      <w:r w:rsidRPr="00C32F28">
        <w:rPr>
          <w:rStyle w:val="Appelnotedebasdep"/>
        </w:rPr>
        <w:footnoteRef/>
      </w:r>
      <w:r w:rsidRPr="00747263">
        <w:rPr>
          <w:lang w:val="de-DE"/>
        </w:rPr>
        <w:t xml:space="preserve"> B. B</w:t>
      </w:r>
      <w:r w:rsidRPr="00747263">
        <w:rPr>
          <w:smallCaps/>
          <w:lang w:val="de-DE"/>
        </w:rPr>
        <w:t>ayenet, D</w:t>
      </w:r>
      <w:r w:rsidRPr="00747263">
        <w:rPr>
          <w:lang w:val="de-DE"/>
        </w:rPr>
        <w:t xml:space="preserve">. </w:t>
      </w:r>
      <w:proofErr w:type="spellStart"/>
      <w:r w:rsidRPr="00747263">
        <w:rPr>
          <w:lang w:val="de-DE"/>
        </w:rPr>
        <w:t>D</w:t>
      </w:r>
      <w:r w:rsidRPr="00747263">
        <w:rPr>
          <w:smallCaps/>
          <w:lang w:val="de-DE"/>
        </w:rPr>
        <w:t>arte</w:t>
      </w:r>
      <w:proofErr w:type="spellEnd"/>
      <w:r w:rsidRPr="00747263">
        <w:rPr>
          <w:smallCaps/>
          <w:lang w:val="de-DE"/>
        </w:rPr>
        <w:t xml:space="preserve">, </w:t>
      </w:r>
      <w:r w:rsidRPr="00747263">
        <w:rPr>
          <w:lang w:val="de-DE"/>
        </w:rPr>
        <w:t>M</w:t>
      </w:r>
      <w:r w:rsidR="00ED61A0" w:rsidRPr="00747263">
        <w:rPr>
          <w:lang w:val="de-DE"/>
        </w:rPr>
        <w:t>.</w:t>
      </w:r>
      <w:r w:rsidRPr="00747263">
        <w:rPr>
          <w:lang w:val="de-DE"/>
        </w:rPr>
        <w:t xml:space="preserve"> </w:t>
      </w:r>
      <w:r w:rsidRPr="00C32F28">
        <w:rPr>
          <w:lang w:val="fr-BE"/>
        </w:rPr>
        <w:t>F</w:t>
      </w:r>
      <w:r w:rsidRPr="00C32F28">
        <w:rPr>
          <w:smallCaps/>
          <w:lang w:val="fr-BE"/>
        </w:rPr>
        <w:t>ontaine, l.</w:t>
      </w:r>
      <w:r w:rsidRPr="00C32F28">
        <w:rPr>
          <w:lang w:val="fr-BE"/>
        </w:rPr>
        <w:t xml:space="preserve"> </w:t>
      </w:r>
      <w:proofErr w:type="spellStart"/>
      <w:r w:rsidRPr="00C32F28">
        <w:rPr>
          <w:lang w:val="fr-BE"/>
        </w:rPr>
        <w:t>N</w:t>
      </w:r>
      <w:r w:rsidRPr="00C32F28">
        <w:rPr>
          <w:smallCaps/>
          <w:lang w:val="fr-BE"/>
        </w:rPr>
        <w:t>aderimehr</w:t>
      </w:r>
      <w:proofErr w:type="spellEnd"/>
      <w:r w:rsidRPr="00C32F28">
        <w:rPr>
          <w:smallCaps/>
          <w:lang w:val="fr-BE"/>
        </w:rPr>
        <w:t>, M</w:t>
      </w:r>
      <w:r w:rsidRPr="00C32F28">
        <w:rPr>
          <w:lang w:val="fr-BE"/>
        </w:rPr>
        <w:t>. B</w:t>
      </w:r>
      <w:r w:rsidRPr="00C32F28">
        <w:rPr>
          <w:smallCaps/>
          <w:lang w:val="fr-BE"/>
        </w:rPr>
        <w:t xml:space="preserve">ourgeois, </w:t>
      </w:r>
      <w:r w:rsidRPr="00C32F28">
        <w:rPr>
          <w:lang w:val="fr-BE"/>
        </w:rPr>
        <w:t xml:space="preserve">F. </w:t>
      </w:r>
      <w:proofErr w:type="spellStart"/>
      <w:r w:rsidRPr="00C32F28">
        <w:rPr>
          <w:lang w:val="fr-BE"/>
        </w:rPr>
        <w:t>B</w:t>
      </w:r>
      <w:r w:rsidRPr="00C32F28">
        <w:rPr>
          <w:smallCaps/>
          <w:lang w:val="fr-BE"/>
        </w:rPr>
        <w:t>ouhon</w:t>
      </w:r>
      <w:proofErr w:type="spellEnd"/>
      <w:r w:rsidRPr="00C32F28">
        <w:rPr>
          <w:smallCaps/>
          <w:lang w:val="fr-BE"/>
        </w:rPr>
        <w:t>, A</w:t>
      </w:r>
      <w:r w:rsidRPr="00C32F28">
        <w:rPr>
          <w:lang w:val="fr-BE"/>
        </w:rPr>
        <w:t xml:space="preserve">. </w:t>
      </w:r>
      <w:proofErr w:type="spellStart"/>
      <w:r w:rsidRPr="00C32F28">
        <w:rPr>
          <w:lang w:val="fr-BE"/>
        </w:rPr>
        <w:t>F</w:t>
      </w:r>
      <w:r w:rsidRPr="00C32F28">
        <w:rPr>
          <w:smallCaps/>
          <w:lang w:val="fr-BE"/>
        </w:rPr>
        <w:t>ostier</w:t>
      </w:r>
      <w:proofErr w:type="spellEnd"/>
      <w:r w:rsidRPr="00C32F28">
        <w:rPr>
          <w:smallCaps/>
          <w:lang w:val="fr-BE"/>
        </w:rPr>
        <w:t>, A</w:t>
      </w:r>
      <w:r w:rsidRPr="00C32F28">
        <w:rPr>
          <w:lang w:val="fr-BE"/>
        </w:rPr>
        <w:t xml:space="preserve">. </w:t>
      </w:r>
      <w:proofErr w:type="spellStart"/>
      <w:r w:rsidRPr="00C32F28">
        <w:rPr>
          <w:lang w:val="fr-BE"/>
        </w:rPr>
        <w:t>J</w:t>
      </w:r>
      <w:r w:rsidRPr="00C32F28">
        <w:rPr>
          <w:smallCaps/>
          <w:lang w:val="fr-BE"/>
        </w:rPr>
        <w:t>ousten</w:t>
      </w:r>
      <w:proofErr w:type="spellEnd"/>
      <w:r w:rsidRPr="00C32F28">
        <w:rPr>
          <w:smallCaps/>
          <w:lang w:val="fr-BE"/>
        </w:rPr>
        <w:t xml:space="preserve"> D</w:t>
      </w:r>
      <w:r w:rsidRPr="00C32F28">
        <w:rPr>
          <w:lang w:val="fr-BE"/>
        </w:rPr>
        <w:t>. P</w:t>
      </w:r>
      <w:r w:rsidRPr="00C32F28">
        <w:rPr>
          <w:smallCaps/>
          <w:lang w:val="fr-BE"/>
        </w:rPr>
        <w:t>iron,</w:t>
      </w:r>
      <w:r w:rsidRPr="00C32F28">
        <w:rPr>
          <w:lang w:val="fr-BE"/>
        </w:rPr>
        <w:t xml:space="preserve"> </w:t>
      </w:r>
      <w:r w:rsidRPr="00C32F28">
        <w:rPr>
          <w:i/>
          <w:iCs/>
          <w:lang w:val="fr-BE"/>
        </w:rPr>
        <w:t>Réforme du financement de la Communauté germanophone dans l’hypothèse d’une Septième réforme de l’État, Perspectives juridiques et budgétaires d’un modèle « Communauté et Région</w:t>
      </w:r>
      <w:r w:rsidRPr="00C32F28">
        <w:rPr>
          <w:lang w:val="fr-BE"/>
        </w:rPr>
        <w:t> » Rapport définitif du 15 février 2019</w:t>
      </w:r>
    </w:p>
  </w:footnote>
  <w:footnote w:id="126">
    <w:p w14:paraId="4CDC2BB1" w14:textId="3D6A11C0" w:rsidR="00C40DA7" w:rsidRPr="00C32F28" w:rsidRDefault="00C40DA7">
      <w:pPr>
        <w:pStyle w:val="Notedebasdepage"/>
        <w:rPr>
          <w:i/>
          <w:iCs/>
          <w:lang w:val="fr-BE"/>
        </w:rPr>
      </w:pPr>
      <w:r w:rsidRPr="00C32F28">
        <w:rPr>
          <w:rStyle w:val="Appelnotedebasdep"/>
        </w:rPr>
        <w:footnoteRef/>
      </w:r>
      <w:r w:rsidRPr="00747263">
        <w:rPr>
          <w:lang w:val="fr-BE"/>
        </w:rPr>
        <w:t xml:space="preserve">Ch. </w:t>
      </w:r>
      <w:r w:rsidRPr="00C32F28">
        <w:rPr>
          <w:lang w:val="fr-BE"/>
        </w:rPr>
        <w:t xml:space="preserve">BEHRENDT, F. BOUHON, Q. PIRONNET, L. FERON et Z. VROLIX, </w:t>
      </w:r>
      <w:r w:rsidRPr="00C32F28">
        <w:rPr>
          <w:i/>
          <w:iCs/>
          <w:lang w:val="fr-BE"/>
        </w:rPr>
        <w:t xml:space="preserve">Etude sur les </w:t>
      </w:r>
      <w:r w:rsidR="005C199E" w:rsidRPr="00C32F28">
        <w:rPr>
          <w:i/>
          <w:iCs/>
          <w:lang w:val="fr-BE"/>
        </w:rPr>
        <w:t>hypothèses</w:t>
      </w:r>
      <w:r w:rsidRPr="00C32F28">
        <w:rPr>
          <w:i/>
          <w:iCs/>
          <w:lang w:val="fr-BE"/>
        </w:rPr>
        <w:t xml:space="preserve"> d’avenir des provinces wallonnes, </w:t>
      </w:r>
      <w:r w:rsidRPr="00C32F28">
        <w:rPr>
          <w:lang w:val="fr-BE"/>
        </w:rPr>
        <w:t>28 mars 2018</w:t>
      </w:r>
    </w:p>
  </w:footnote>
  <w:footnote w:id="127">
    <w:p w14:paraId="4457A33F" w14:textId="1FA09887" w:rsidR="00A50741" w:rsidRPr="00C32F28" w:rsidRDefault="00A50741">
      <w:pPr>
        <w:pStyle w:val="Notedebasdepage"/>
        <w:rPr>
          <w:lang w:val="fr-BE"/>
        </w:rPr>
      </w:pPr>
      <w:r w:rsidRPr="00C32F28">
        <w:rPr>
          <w:rStyle w:val="Appelnotedebasdep"/>
          <w:lang w:val="fr-BE"/>
        </w:rPr>
        <w:footnoteRef/>
      </w:r>
      <w:r w:rsidRPr="00C32F28">
        <w:rPr>
          <w:lang w:val="fr-BE"/>
        </w:rPr>
        <w:t xml:space="preserve"> LEJEUNE Y., </w:t>
      </w:r>
      <w:r w:rsidRPr="00C32F28">
        <w:rPr>
          <w:i/>
          <w:iCs/>
          <w:lang w:val="fr-BE"/>
        </w:rPr>
        <w:t xml:space="preserve">Droit constitutionnel </w:t>
      </w:r>
      <w:r w:rsidR="0039523E" w:rsidRPr="00C32F28">
        <w:rPr>
          <w:i/>
          <w:iCs/>
          <w:lang w:val="fr-BE"/>
        </w:rPr>
        <w:t>belge, Fondements et institutions</w:t>
      </w:r>
      <w:r w:rsidR="0039523E" w:rsidRPr="00C32F28">
        <w:rPr>
          <w:lang w:val="fr-BE"/>
        </w:rPr>
        <w:t>, 3</w:t>
      </w:r>
      <w:r w:rsidR="0039523E" w:rsidRPr="00C32F28">
        <w:rPr>
          <w:vertAlign w:val="superscript"/>
          <w:lang w:val="fr-BE"/>
        </w:rPr>
        <w:t>ème</w:t>
      </w:r>
      <w:r w:rsidR="0039523E" w:rsidRPr="00C32F28">
        <w:rPr>
          <w:lang w:val="fr-BE"/>
        </w:rPr>
        <w:t xml:space="preserve"> édition, Larcier, 2017.</w:t>
      </w:r>
    </w:p>
  </w:footnote>
  <w:footnote w:id="128">
    <w:p w14:paraId="43A0ADE0" w14:textId="1284B756" w:rsidR="00492016" w:rsidRPr="00C32F28" w:rsidRDefault="00492016">
      <w:pPr>
        <w:pStyle w:val="Notedebasdepage"/>
        <w:rPr>
          <w:lang w:val="fr-FR"/>
        </w:rPr>
      </w:pPr>
      <w:r w:rsidRPr="00C32F28">
        <w:rPr>
          <w:rStyle w:val="Appelnotedebasdep"/>
        </w:rPr>
        <w:footnoteRef/>
      </w:r>
      <w:r w:rsidRPr="00747263">
        <w:rPr>
          <w:lang w:val="fr-BE"/>
        </w:rPr>
        <w:t xml:space="preserve"> </w:t>
      </w:r>
      <w:proofErr w:type="spellStart"/>
      <w:r w:rsidRPr="00C32F28">
        <w:rPr>
          <w:lang w:val="fr-FR"/>
        </w:rPr>
        <w:t>Vo</w:t>
      </w:r>
      <w:r w:rsidR="008D4F1F">
        <w:rPr>
          <w:lang w:val="fr-FR"/>
        </w:rPr>
        <w:t>y</w:t>
      </w:r>
      <w:proofErr w:type="spellEnd"/>
      <w:r w:rsidR="008D4F1F">
        <w:rPr>
          <w:lang w:val="fr-FR"/>
        </w:rPr>
        <w:t>.</w:t>
      </w:r>
      <w:r w:rsidRPr="00C32F28">
        <w:rPr>
          <w:lang w:val="fr-FR"/>
        </w:rPr>
        <w:t xml:space="preserve"> les propositions faites dans les années 30 par F. BOVESSE, ministre d’Etat in A. GAVROY, </w:t>
      </w:r>
      <w:r w:rsidRPr="00C32F28">
        <w:rPr>
          <w:i/>
          <w:iCs/>
          <w:lang w:val="fr-FR"/>
        </w:rPr>
        <w:t xml:space="preserve">François </w:t>
      </w:r>
      <w:proofErr w:type="spellStart"/>
      <w:r w:rsidRPr="00C32F28">
        <w:rPr>
          <w:i/>
          <w:iCs/>
          <w:lang w:val="fr-FR"/>
        </w:rPr>
        <w:t>Bovesse</w:t>
      </w:r>
      <w:proofErr w:type="spellEnd"/>
      <w:r w:rsidRPr="00C32F28">
        <w:rPr>
          <w:i/>
          <w:iCs/>
          <w:lang w:val="fr-FR"/>
        </w:rPr>
        <w:t xml:space="preserve"> 1890-1944, Itinéraire et pensée politiques</w:t>
      </w:r>
      <w:r w:rsidRPr="00C32F28">
        <w:rPr>
          <w:lang w:val="fr-FR"/>
        </w:rPr>
        <w:t>, édité par la Ville de Namur, 1990.</w:t>
      </w:r>
    </w:p>
  </w:footnote>
  <w:footnote w:id="129">
    <w:p w14:paraId="25E20650" w14:textId="19673705" w:rsidR="005C199E" w:rsidRPr="00C32F28" w:rsidRDefault="005C199E" w:rsidP="005C199E">
      <w:pPr>
        <w:jc w:val="both"/>
        <w:rPr>
          <w:bCs/>
          <w:sz w:val="20"/>
        </w:rPr>
      </w:pPr>
      <w:r w:rsidRPr="00747263">
        <w:rPr>
          <w:rStyle w:val="Appelnotedebasdep"/>
          <w:sz w:val="20"/>
        </w:rPr>
        <w:footnoteRef/>
      </w:r>
      <w:r w:rsidRPr="00747263">
        <w:rPr>
          <w:sz w:val="20"/>
        </w:rPr>
        <w:t xml:space="preserve"> </w:t>
      </w:r>
      <w:r w:rsidRPr="00616477">
        <w:rPr>
          <w:bCs/>
          <w:smallCaps/>
          <w:sz w:val="20"/>
        </w:rPr>
        <w:t xml:space="preserve">H. Bogaert </w:t>
      </w:r>
      <w:r w:rsidRPr="00616477">
        <w:rPr>
          <w:bCs/>
          <w:sz w:val="20"/>
        </w:rPr>
        <w:t xml:space="preserve">et al, </w:t>
      </w:r>
      <w:r w:rsidRPr="00616477">
        <w:rPr>
          <w:bCs/>
          <w:i/>
          <w:iCs/>
          <w:sz w:val="20"/>
        </w:rPr>
        <w:t>Réforme des provinces,</w:t>
      </w:r>
      <w:r w:rsidRPr="00C32F28">
        <w:rPr>
          <w:bCs/>
          <w:i/>
          <w:iCs/>
          <w:sz w:val="20"/>
        </w:rPr>
        <w:t xml:space="preserve"> Note stratégique</w:t>
      </w:r>
      <w:r w:rsidRPr="00C32F28">
        <w:rPr>
          <w:bCs/>
          <w:sz w:val="20"/>
        </w:rPr>
        <w:t>, Centre de recherches en Economie Régionale et Politique Economique, Université de Namur, février 2018</w:t>
      </w:r>
      <w:r w:rsidR="008D4F1F">
        <w:rPr>
          <w:bCs/>
          <w:sz w:val="20"/>
        </w:rPr>
        <w:t>.</w:t>
      </w:r>
    </w:p>
  </w:footnote>
  <w:footnote w:id="130">
    <w:p w14:paraId="5F090428" w14:textId="5F671F9A" w:rsidR="00C45902" w:rsidRPr="00C32F28" w:rsidRDefault="00C45902">
      <w:pPr>
        <w:pStyle w:val="Notedebasdepage"/>
        <w:rPr>
          <w:lang w:val="fr-BE"/>
        </w:rPr>
      </w:pPr>
      <w:r w:rsidRPr="00C32F28">
        <w:rPr>
          <w:rStyle w:val="Appelnotedebasdep"/>
        </w:rPr>
        <w:footnoteRef/>
      </w:r>
      <w:r w:rsidRPr="00747263">
        <w:rPr>
          <w:lang w:val="fr-BE"/>
        </w:rPr>
        <w:t xml:space="preserve"> </w:t>
      </w:r>
      <w:r w:rsidRPr="00C32F28">
        <w:rPr>
          <w:lang w:val="fr-BE"/>
        </w:rPr>
        <w:t>Décret du 18 novembre 2016</w:t>
      </w:r>
      <w:r w:rsidR="00FF0330" w:rsidRPr="00C32F28">
        <w:rPr>
          <w:lang w:val="fr-BE"/>
        </w:rPr>
        <w:t>, M</w:t>
      </w:r>
      <w:r w:rsidR="008D4F1F">
        <w:rPr>
          <w:lang w:val="fr-BE"/>
        </w:rPr>
        <w:t>.</w:t>
      </w:r>
      <w:r w:rsidR="00FF0330" w:rsidRPr="00C32F28">
        <w:rPr>
          <w:lang w:val="fr-BE"/>
        </w:rPr>
        <w:t>B</w:t>
      </w:r>
      <w:r w:rsidR="008D4F1F">
        <w:rPr>
          <w:lang w:val="fr-BE"/>
        </w:rPr>
        <w:t>.</w:t>
      </w:r>
      <w:r w:rsidR="00FF0330" w:rsidRPr="00C32F28">
        <w:rPr>
          <w:lang w:val="fr-BE"/>
        </w:rPr>
        <w:t xml:space="preserve"> 12 décembre 2016</w:t>
      </w:r>
    </w:p>
  </w:footnote>
  <w:footnote w:id="131">
    <w:p w14:paraId="1CFFAACE" w14:textId="22455B41" w:rsidR="00616477" w:rsidRPr="00616477" w:rsidRDefault="00616477">
      <w:pPr>
        <w:pStyle w:val="Notedebasdepage"/>
        <w:rPr>
          <w:lang w:val="fr-BE"/>
        </w:rPr>
      </w:pPr>
      <w:r>
        <w:rPr>
          <w:rStyle w:val="Appelnotedebasdep"/>
        </w:rPr>
        <w:footnoteRef/>
      </w:r>
      <w:r>
        <w:t xml:space="preserve"> M. UYTTENDAELE, 2017.</w:t>
      </w:r>
    </w:p>
  </w:footnote>
  <w:footnote w:id="132">
    <w:p w14:paraId="5C11983A" w14:textId="406BC8A8" w:rsidR="008D4F1F" w:rsidRPr="008D4F1F" w:rsidRDefault="008D4F1F">
      <w:pPr>
        <w:pStyle w:val="Notedebasdepage"/>
        <w:rPr>
          <w:lang w:val="fr-BE"/>
        </w:rPr>
      </w:pPr>
      <w:r>
        <w:rPr>
          <w:rStyle w:val="Appelnotedebasdep"/>
        </w:rPr>
        <w:footnoteRef/>
      </w:r>
      <w:r w:rsidRPr="00804DBF">
        <w:rPr>
          <w:lang w:val="fr-BE"/>
        </w:rPr>
        <w:t xml:space="preserve"> </w:t>
      </w:r>
      <w:r>
        <w:rPr>
          <w:lang w:val="fr-BE"/>
        </w:rPr>
        <w:t>Autorité fédérale, Communauté française, Communauté flamande, Communauté germanophone, Région wallonne, Région de Bruxelles-Capitale, Commission communautaire française et Commission communautaire commune.</w:t>
      </w:r>
    </w:p>
  </w:footnote>
  <w:footnote w:id="133">
    <w:p w14:paraId="1D120F95" w14:textId="7B4772A4" w:rsidR="00BF72F4" w:rsidRPr="00C32F28" w:rsidRDefault="00BF72F4" w:rsidP="00BF72F4">
      <w:pPr>
        <w:pStyle w:val="Notedebasdepage"/>
        <w:rPr>
          <w:lang w:val="fr-BE"/>
        </w:rPr>
      </w:pPr>
      <w:r w:rsidRPr="00C32F28">
        <w:rPr>
          <w:rStyle w:val="Appelnotedebasdep"/>
        </w:rPr>
        <w:footnoteRef/>
      </w:r>
      <w:r w:rsidRPr="00747263">
        <w:rPr>
          <w:lang w:val="fr-BE"/>
        </w:rPr>
        <w:t xml:space="preserve"> </w:t>
      </w:r>
      <w:proofErr w:type="spellStart"/>
      <w:r w:rsidRPr="00C32F28">
        <w:rPr>
          <w:lang w:val="fr-BE"/>
        </w:rPr>
        <w:t>Vo</w:t>
      </w:r>
      <w:r w:rsidR="002C78A3">
        <w:rPr>
          <w:lang w:val="fr-BE"/>
        </w:rPr>
        <w:t>y</w:t>
      </w:r>
      <w:proofErr w:type="spellEnd"/>
      <w:r w:rsidR="002F1A62">
        <w:rPr>
          <w:lang w:val="fr-BE"/>
        </w:rPr>
        <w:t>.</w:t>
      </w:r>
      <w:r w:rsidRPr="00C32F28">
        <w:rPr>
          <w:lang w:val="fr-BE"/>
        </w:rPr>
        <w:t xml:space="preserve"> notamment J.-P. N</w:t>
      </w:r>
      <w:r w:rsidR="009A2E42" w:rsidRPr="00C32F28">
        <w:rPr>
          <w:lang w:val="fr-BE"/>
        </w:rPr>
        <w:t>ASSAUX</w:t>
      </w:r>
      <w:r w:rsidRPr="00C32F28">
        <w:rPr>
          <w:lang w:val="fr-BE"/>
        </w:rPr>
        <w:t xml:space="preserve">, </w:t>
      </w:r>
      <w:r w:rsidRPr="00C32F28">
        <w:rPr>
          <w:i/>
          <w:iCs/>
          <w:lang w:val="fr-BE"/>
        </w:rPr>
        <w:t>Le retour du débat institutionnel bruxellois (2016-2018)</w:t>
      </w:r>
      <w:r w:rsidRPr="00C32F28">
        <w:rPr>
          <w:lang w:val="fr-BE"/>
        </w:rPr>
        <w:t>, Courrier hebdomadaire du C</w:t>
      </w:r>
      <w:r w:rsidR="009A2E42" w:rsidRPr="00C32F28">
        <w:rPr>
          <w:lang w:val="fr-BE"/>
        </w:rPr>
        <w:t>RISP</w:t>
      </w:r>
      <w:r w:rsidRPr="00C32F28">
        <w:rPr>
          <w:lang w:val="fr-BE"/>
        </w:rPr>
        <w:t>, n°2374, 2018</w:t>
      </w:r>
      <w:r w:rsidR="00CB13C1">
        <w:rPr>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7CBA" w14:textId="1BBFEB5A" w:rsidR="006B1D25" w:rsidRDefault="006B1D25" w:rsidP="006B1D25">
    <w:pPr>
      <w:pStyle w:val="En-tte"/>
    </w:pPr>
    <w:r w:rsidRPr="00234EF2">
      <w:rPr>
        <w:noProof/>
        <w:lang w:val="fr-FR" w:eastAsia="fr-FR"/>
      </w:rPr>
      <w:drawing>
        <wp:anchor distT="0" distB="0" distL="114300" distR="114300" simplePos="0" relativeHeight="251662336" behindDoc="0" locked="0" layoutInCell="1" allowOverlap="1" wp14:anchorId="4D931594" wp14:editId="12088761">
          <wp:simplePos x="0" y="0"/>
          <wp:positionH relativeFrom="column">
            <wp:posOffset>-782955</wp:posOffset>
          </wp:positionH>
          <wp:positionV relativeFrom="paragraph">
            <wp:posOffset>-455930</wp:posOffset>
          </wp:positionV>
          <wp:extent cx="523875" cy="352425"/>
          <wp:effectExtent l="0" t="0" r="9525" b="9525"/>
          <wp:wrapNone/>
          <wp:docPr id="89" name="Picture 6"/>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rotWithShape="1">
                  <a:blip r:embed="rId1" cstate="hqprint">
                    <a:extLst>
                      <a:ext uri="{BEBA8EAE-BF5A-486C-A8C5-ECC9F3942E4B}">
                        <a14:imgProps xmlns:a14="http://schemas.microsoft.com/office/drawing/2010/main">
                          <a14:imgLayer r:embed="rId2">
                            <a14:imgEffect>
                              <a14:backgroundRemoval t="9043" b="89894" l="2660" r="93085">
                                <a14:foregroundMark x1="38298" y1="41489" x2="38298" y2="41489"/>
                                <a14:foregroundMark x1="37766" y1="34574" x2="38298" y2="44681"/>
                                <a14:foregroundMark x1="50532" y1="34043" x2="50532" y2="46809"/>
                                <a14:foregroundMark x1="31915" y1="34574" x2="31915" y2="40957"/>
                                <a14:foregroundMark x1="22340" y1="44149" x2="22340" y2="30851"/>
                                <a14:foregroundMark x1="87766" y1="46809" x2="83511" y2="37766"/>
                                <a14:backgroundMark x1="10638" y1="39362" x2="10638" y2="39362"/>
                              </a14:backgroundRemoval>
                            </a14:imgEffect>
                          </a14:imgLayer>
                        </a14:imgProps>
                      </a:ext>
                      <a:ext uri="{28A0092B-C50C-407E-A947-70E740481C1C}">
                        <a14:useLocalDpi xmlns:a14="http://schemas.microsoft.com/office/drawing/2010/main" val="0"/>
                      </a:ext>
                    </a:extLst>
                  </a:blip>
                  <a:srcRect l="-1" t="7661" r="8842" b="29397"/>
                  <a:stretch/>
                </pic:blipFill>
                <pic:spPr bwMode="auto">
                  <a:xfrm>
                    <a:off x="0" y="0"/>
                    <a:ext cx="523875" cy="352425"/>
                  </a:xfrm>
                  <a:prstGeom prst="rect">
                    <a:avLst/>
                  </a:prstGeom>
                  <a:solidFill>
                    <a:srgbClr val="214998"/>
                  </a:solidFill>
                  <a:ln>
                    <a:noFill/>
                  </a:ln>
                </pic:spPr>
              </pic:pic>
            </a:graphicData>
          </a:graphic>
          <wp14:sizeRelH relativeFrom="margin">
            <wp14:pctWidth>0</wp14:pctWidth>
          </wp14:sizeRelH>
          <wp14:sizeRelV relativeFrom="margin">
            <wp14:pctHeight>0</wp14:pctHeight>
          </wp14:sizeRelV>
        </wp:anchor>
      </w:drawing>
    </w:r>
    <w:r>
      <w:rPr>
        <w:rFonts w:ascii="Times" w:hAnsi="Times" w:cs="Times"/>
        <w:noProof/>
        <w:sz w:val="30"/>
        <w:szCs w:val="30"/>
        <w:lang w:val="fr-FR" w:eastAsia="fr-FR"/>
      </w:rPr>
      <mc:AlternateContent>
        <mc:Choice Requires="wps">
          <w:drawing>
            <wp:anchor distT="0" distB="0" distL="114300" distR="114300" simplePos="0" relativeHeight="251663360" behindDoc="0" locked="1" layoutInCell="1" allowOverlap="1" wp14:anchorId="56651724" wp14:editId="0D27725C">
              <wp:simplePos x="0" y="0"/>
              <wp:positionH relativeFrom="column">
                <wp:posOffset>3474720</wp:posOffset>
              </wp:positionH>
              <wp:positionV relativeFrom="page">
                <wp:posOffset>34925</wp:posOffset>
              </wp:positionV>
              <wp:extent cx="3077845" cy="307975"/>
              <wp:effectExtent l="0" t="0" r="0" b="0"/>
              <wp:wrapSquare wrapText="bothSides"/>
              <wp:docPr id="64" name="Text Box 7"/>
              <wp:cNvGraphicFramePr/>
              <a:graphic xmlns:a="http://schemas.openxmlformats.org/drawingml/2006/main">
                <a:graphicData uri="http://schemas.microsoft.com/office/word/2010/wordprocessingShape">
                  <wps:wsp>
                    <wps:cNvSpPr txBox="1"/>
                    <wps:spPr>
                      <a:xfrm>
                        <a:off x="0" y="0"/>
                        <a:ext cx="3077845" cy="307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D83336" w14:textId="77777777" w:rsidR="006B1D25" w:rsidRPr="00C07100" w:rsidRDefault="006B1D25" w:rsidP="006B1D25">
                          <w:pPr>
                            <w:jc w:val="right"/>
                            <w:rPr>
                              <w:color w:val="FFFFFF" w:themeColor="background1"/>
                            </w:rPr>
                          </w:pPr>
                          <w:r w:rsidRPr="00C07100">
                            <w:rPr>
                              <w:color w:val="FFFFFF" w:themeColor="background1"/>
                            </w:rPr>
                            <w:t xml:space="preserve">DULBEA | </w:t>
                          </w:r>
                          <w:proofErr w:type="spellStart"/>
                          <w:r>
                            <w:rPr>
                              <w:color w:val="FFFFFF" w:themeColor="background1"/>
                            </w:rPr>
                            <w:t>Working</w:t>
                          </w:r>
                          <w:proofErr w:type="spellEnd"/>
                          <w:r>
                            <w:rPr>
                              <w:color w:val="FFFFFF" w:themeColor="background1"/>
                            </w:rPr>
                            <w:t xml:space="preserve"> </w:t>
                          </w:r>
                          <w:proofErr w:type="spellStart"/>
                          <w:r>
                            <w:rPr>
                              <w:color w:val="FFFFFF" w:themeColor="background1"/>
                            </w:rPr>
                            <w:t>paper</w:t>
                          </w:r>
                          <w:proofErr w:type="spellEnd"/>
                          <w:r w:rsidRPr="00C07100">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51724" id="_x0000_t202" coordsize="21600,21600" o:spt="202" path="m,l,21600r21600,l21600,xe">
              <v:stroke joinstyle="miter"/>
              <v:path gradientshapeok="t" o:connecttype="rect"/>
            </v:shapetype>
            <v:shape id="_x0000_s1032" type="#_x0000_t202" style="position:absolute;margin-left:273.6pt;margin-top:2.75pt;width:242.3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" filled="f" stroked="f">
              <v:textbox>
                <w:txbxContent>
                  <w:p w14:paraId="5CD83336" w14:textId="77777777" w:rsidR="006B1D25" w:rsidRPr="00C07100" w:rsidRDefault="006B1D25" w:rsidP="006B1D25">
                    <w:pPr>
                      <w:jc w:val="right"/>
                      <w:rPr>
                        <w:color w:val="FFFFFF" w:themeColor="background1"/>
                      </w:rPr>
                    </w:pPr>
                    <w:r w:rsidRPr="00C07100">
                      <w:rPr>
                        <w:color w:val="FFFFFF" w:themeColor="background1"/>
                      </w:rPr>
                      <w:t xml:space="preserve">DULBEA | </w:t>
                    </w:r>
                    <w:r>
                      <w:rPr>
                        <w:color w:val="FFFFFF" w:themeColor="background1"/>
                      </w:rPr>
                      <w:t>Working paper</w:t>
                    </w:r>
                    <w:r w:rsidRPr="00C07100">
                      <w:rPr>
                        <w:color w:val="FFFFFF" w:themeColor="background1"/>
                      </w:rPr>
                      <w:t xml:space="preserve"> </w:t>
                    </w:r>
                  </w:p>
                </w:txbxContent>
              </v:textbox>
              <w10:wrap type="square" anchory="page"/>
              <w10:anchorlock/>
            </v:shape>
          </w:pict>
        </mc:Fallback>
      </mc:AlternateContent>
    </w:r>
    <w:r>
      <w:rPr>
        <w:rFonts w:ascii="Times" w:hAnsi="Times" w:cs="Times"/>
        <w:noProof/>
        <w:sz w:val="30"/>
        <w:szCs w:val="30"/>
        <w:lang w:val="fr-FR" w:eastAsia="fr-FR"/>
      </w:rPr>
      <mc:AlternateContent>
        <mc:Choice Requires="wps">
          <w:drawing>
            <wp:anchor distT="0" distB="0" distL="114300" distR="114300" simplePos="0" relativeHeight="251661312" behindDoc="0" locked="1" layoutInCell="1" allowOverlap="1" wp14:anchorId="468F7BD8" wp14:editId="5902B204">
              <wp:simplePos x="0" y="0"/>
              <wp:positionH relativeFrom="column">
                <wp:posOffset>-923925</wp:posOffset>
              </wp:positionH>
              <wp:positionV relativeFrom="page">
                <wp:posOffset>-8255</wp:posOffset>
              </wp:positionV>
              <wp:extent cx="8119110" cy="352425"/>
              <wp:effectExtent l="0" t="0" r="0" b="9525"/>
              <wp:wrapThrough wrapText="bothSides">
                <wp:wrapPolygon edited="0">
                  <wp:start x="0" y="0"/>
                  <wp:lineTo x="0" y="21016"/>
                  <wp:lineTo x="21539" y="21016"/>
                  <wp:lineTo x="21539" y="0"/>
                  <wp:lineTo x="0" y="0"/>
                </wp:wrapPolygon>
              </wp:wrapThrough>
              <wp:docPr id="63" name="Rectangle 2"/>
              <wp:cNvGraphicFramePr/>
              <a:graphic xmlns:a="http://schemas.openxmlformats.org/drawingml/2006/main">
                <a:graphicData uri="http://schemas.microsoft.com/office/word/2010/wordprocessingShape">
                  <wps:wsp>
                    <wps:cNvSpPr/>
                    <wps:spPr>
                      <a:xfrm>
                        <a:off x="0" y="0"/>
                        <a:ext cx="8119110" cy="352425"/>
                      </a:xfrm>
                      <a:prstGeom prst="rect">
                        <a:avLst/>
                      </a:prstGeom>
                      <a:solidFill>
                        <a:srgbClr val="2149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C9664" id="Rectangle 2" o:spid="_x0000_s1026" style="position:absolute;margin-left:-72.75pt;margin-top:-.65pt;width:639.3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" fillcolor="#214998" stroked="f" strokeweight="1pt">
              <w10:wrap type="through" anchory="page"/>
              <w10:anchorlock/>
            </v:rect>
          </w:pict>
        </mc:Fallback>
      </mc:AlternateContent>
    </w:r>
  </w:p>
  <w:p w14:paraId="4024E4BD" w14:textId="557F9D3C" w:rsidR="006B1D25" w:rsidRDefault="006B1D25">
    <w:pPr>
      <w:pStyle w:val="En-tte"/>
    </w:pPr>
  </w:p>
  <w:p w14:paraId="0D56D5DD" w14:textId="77777777" w:rsidR="006B1D25" w:rsidRDefault="006B1D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5EF362"/>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928"/>
        </w:tabs>
        <w:ind w:left="568"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05"/>
        </w:tabs>
        <w:ind w:left="3545"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02AA6EBD"/>
    <w:multiLevelType w:val="hybridMultilevel"/>
    <w:tmpl w:val="BAEEB9D0"/>
    <w:lvl w:ilvl="0" w:tplc="B2D0767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2D50B1"/>
    <w:multiLevelType w:val="hybridMultilevel"/>
    <w:tmpl w:val="0D84D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705F11"/>
    <w:multiLevelType w:val="multilevel"/>
    <w:tmpl w:val="AA76D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31FA4"/>
    <w:multiLevelType w:val="hybridMultilevel"/>
    <w:tmpl w:val="BBF2B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E7D44"/>
    <w:multiLevelType w:val="multilevel"/>
    <w:tmpl w:val="CCFEC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E480C"/>
    <w:multiLevelType w:val="hybridMultilevel"/>
    <w:tmpl w:val="EA705C3C"/>
    <w:lvl w:ilvl="0" w:tplc="5B32EB58">
      <w:start w:val="14"/>
      <w:numFmt w:val="bullet"/>
      <w:lvlText w:val="-"/>
      <w:lvlJc w:val="left"/>
      <w:pPr>
        <w:ind w:left="502" w:hanging="360"/>
      </w:pPr>
      <w:rPr>
        <w:rFonts w:ascii="Arial" w:eastAsia="Times New Roman" w:hAnsi="Arial" w:cs="Times New Roman"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7" w15:restartNumberingAfterBreak="0">
    <w:nsid w:val="1BA3631F"/>
    <w:multiLevelType w:val="hybridMultilevel"/>
    <w:tmpl w:val="9AA2B7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9158CD"/>
    <w:multiLevelType w:val="hybridMultilevel"/>
    <w:tmpl w:val="A7B20B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25774D"/>
    <w:multiLevelType w:val="hybridMultilevel"/>
    <w:tmpl w:val="76089F00"/>
    <w:lvl w:ilvl="0" w:tplc="0354271A">
      <w:start w:val="3"/>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4271DCE"/>
    <w:multiLevelType w:val="hybridMultilevel"/>
    <w:tmpl w:val="9200B1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94B6B"/>
    <w:multiLevelType w:val="hybridMultilevel"/>
    <w:tmpl w:val="BBF2B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F53262"/>
    <w:multiLevelType w:val="multilevel"/>
    <w:tmpl w:val="540E13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7E1B0C"/>
    <w:multiLevelType w:val="hybridMultilevel"/>
    <w:tmpl w:val="BE9AD34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D30DC"/>
    <w:multiLevelType w:val="hybridMultilevel"/>
    <w:tmpl w:val="874A97E8"/>
    <w:lvl w:ilvl="0" w:tplc="0CD23A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F7187"/>
    <w:multiLevelType w:val="hybridMultilevel"/>
    <w:tmpl w:val="D4766E5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31F94FAA"/>
    <w:multiLevelType w:val="hybridMultilevel"/>
    <w:tmpl w:val="DDD83602"/>
    <w:lvl w:ilvl="0" w:tplc="04090003">
      <w:start w:val="1"/>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E4BF3"/>
    <w:multiLevelType w:val="hybridMultilevel"/>
    <w:tmpl w:val="7B5E6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1D7115"/>
    <w:multiLevelType w:val="singleLevel"/>
    <w:tmpl w:val="C0CAA00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82529B9"/>
    <w:multiLevelType w:val="multilevel"/>
    <w:tmpl w:val="B33ED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E119F"/>
    <w:multiLevelType w:val="hybridMultilevel"/>
    <w:tmpl w:val="E190FEC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C525CE8"/>
    <w:multiLevelType w:val="hybridMultilevel"/>
    <w:tmpl w:val="089A49B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D8C7467"/>
    <w:multiLevelType w:val="multilevel"/>
    <w:tmpl w:val="B5C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0D3B13"/>
    <w:multiLevelType w:val="multilevel"/>
    <w:tmpl w:val="1DAE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945616"/>
    <w:multiLevelType w:val="hybridMultilevel"/>
    <w:tmpl w:val="9EE089BA"/>
    <w:lvl w:ilvl="0" w:tplc="0F42AA02">
      <w:start w:val="1"/>
      <w:numFmt w:val="bullet"/>
      <w:lvlText w:val="•"/>
      <w:lvlJc w:val="left"/>
      <w:pPr>
        <w:tabs>
          <w:tab w:val="num" w:pos="720"/>
        </w:tabs>
        <w:ind w:left="720" w:hanging="360"/>
      </w:pPr>
      <w:rPr>
        <w:rFonts w:ascii="Arial" w:hAnsi="Arial" w:hint="default"/>
      </w:rPr>
    </w:lvl>
    <w:lvl w:ilvl="1" w:tplc="B1300636" w:tentative="1">
      <w:start w:val="1"/>
      <w:numFmt w:val="bullet"/>
      <w:lvlText w:val="•"/>
      <w:lvlJc w:val="left"/>
      <w:pPr>
        <w:tabs>
          <w:tab w:val="num" w:pos="1440"/>
        </w:tabs>
        <w:ind w:left="1440" w:hanging="360"/>
      </w:pPr>
      <w:rPr>
        <w:rFonts w:ascii="Arial" w:hAnsi="Arial" w:hint="default"/>
      </w:rPr>
    </w:lvl>
    <w:lvl w:ilvl="2" w:tplc="830CDDF4" w:tentative="1">
      <w:start w:val="1"/>
      <w:numFmt w:val="bullet"/>
      <w:lvlText w:val="•"/>
      <w:lvlJc w:val="left"/>
      <w:pPr>
        <w:tabs>
          <w:tab w:val="num" w:pos="2160"/>
        </w:tabs>
        <w:ind w:left="2160" w:hanging="360"/>
      </w:pPr>
      <w:rPr>
        <w:rFonts w:ascii="Arial" w:hAnsi="Arial" w:hint="default"/>
      </w:rPr>
    </w:lvl>
    <w:lvl w:ilvl="3" w:tplc="933003D8" w:tentative="1">
      <w:start w:val="1"/>
      <w:numFmt w:val="bullet"/>
      <w:lvlText w:val="•"/>
      <w:lvlJc w:val="left"/>
      <w:pPr>
        <w:tabs>
          <w:tab w:val="num" w:pos="2880"/>
        </w:tabs>
        <w:ind w:left="2880" w:hanging="360"/>
      </w:pPr>
      <w:rPr>
        <w:rFonts w:ascii="Arial" w:hAnsi="Arial" w:hint="default"/>
      </w:rPr>
    </w:lvl>
    <w:lvl w:ilvl="4" w:tplc="D534E530" w:tentative="1">
      <w:start w:val="1"/>
      <w:numFmt w:val="bullet"/>
      <w:lvlText w:val="•"/>
      <w:lvlJc w:val="left"/>
      <w:pPr>
        <w:tabs>
          <w:tab w:val="num" w:pos="3600"/>
        </w:tabs>
        <w:ind w:left="3600" w:hanging="360"/>
      </w:pPr>
      <w:rPr>
        <w:rFonts w:ascii="Arial" w:hAnsi="Arial" w:hint="default"/>
      </w:rPr>
    </w:lvl>
    <w:lvl w:ilvl="5" w:tplc="E1FC3614" w:tentative="1">
      <w:start w:val="1"/>
      <w:numFmt w:val="bullet"/>
      <w:lvlText w:val="•"/>
      <w:lvlJc w:val="left"/>
      <w:pPr>
        <w:tabs>
          <w:tab w:val="num" w:pos="4320"/>
        </w:tabs>
        <w:ind w:left="4320" w:hanging="360"/>
      </w:pPr>
      <w:rPr>
        <w:rFonts w:ascii="Arial" w:hAnsi="Arial" w:hint="default"/>
      </w:rPr>
    </w:lvl>
    <w:lvl w:ilvl="6" w:tplc="2CB47010" w:tentative="1">
      <w:start w:val="1"/>
      <w:numFmt w:val="bullet"/>
      <w:lvlText w:val="•"/>
      <w:lvlJc w:val="left"/>
      <w:pPr>
        <w:tabs>
          <w:tab w:val="num" w:pos="5040"/>
        </w:tabs>
        <w:ind w:left="5040" w:hanging="360"/>
      </w:pPr>
      <w:rPr>
        <w:rFonts w:ascii="Arial" w:hAnsi="Arial" w:hint="default"/>
      </w:rPr>
    </w:lvl>
    <w:lvl w:ilvl="7" w:tplc="8A58E9B0" w:tentative="1">
      <w:start w:val="1"/>
      <w:numFmt w:val="bullet"/>
      <w:lvlText w:val="•"/>
      <w:lvlJc w:val="left"/>
      <w:pPr>
        <w:tabs>
          <w:tab w:val="num" w:pos="5760"/>
        </w:tabs>
        <w:ind w:left="5760" w:hanging="360"/>
      </w:pPr>
      <w:rPr>
        <w:rFonts w:ascii="Arial" w:hAnsi="Arial" w:hint="default"/>
      </w:rPr>
    </w:lvl>
    <w:lvl w:ilvl="8" w:tplc="9A08AAB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D7080F"/>
    <w:multiLevelType w:val="hybridMultilevel"/>
    <w:tmpl w:val="C8969960"/>
    <w:lvl w:ilvl="0" w:tplc="6D7CCC80">
      <w:start w:val="1"/>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D445BC"/>
    <w:multiLevelType w:val="multilevel"/>
    <w:tmpl w:val="19A8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E80A1F"/>
    <w:multiLevelType w:val="multilevel"/>
    <w:tmpl w:val="07965E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AD49AF"/>
    <w:multiLevelType w:val="multilevel"/>
    <w:tmpl w:val="12FEEF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BD30B0"/>
    <w:multiLevelType w:val="hybridMultilevel"/>
    <w:tmpl w:val="04FC9018"/>
    <w:lvl w:ilvl="0" w:tplc="5B32EB58">
      <w:start w:val="14"/>
      <w:numFmt w:val="bullet"/>
      <w:lvlText w:val="-"/>
      <w:lvlJc w:val="left"/>
      <w:pPr>
        <w:tabs>
          <w:tab w:val="num" w:pos="360"/>
        </w:tabs>
        <w:ind w:left="360" w:hanging="360"/>
      </w:pPr>
      <w:rPr>
        <w:rFonts w:ascii="Arial" w:eastAsia="Times New Roman" w:hAnsi="Aria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8F1B8E"/>
    <w:multiLevelType w:val="hybridMultilevel"/>
    <w:tmpl w:val="769A8214"/>
    <w:lvl w:ilvl="0" w:tplc="BA2A94A2">
      <w:start w:val="1"/>
      <w:numFmt w:val="bullet"/>
      <w:lvlText w:val="•"/>
      <w:lvlJc w:val="left"/>
      <w:pPr>
        <w:tabs>
          <w:tab w:val="num" w:pos="720"/>
        </w:tabs>
        <w:ind w:left="720" w:hanging="360"/>
      </w:pPr>
      <w:rPr>
        <w:rFonts w:ascii="Arial" w:hAnsi="Arial" w:hint="default"/>
      </w:rPr>
    </w:lvl>
    <w:lvl w:ilvl="1" w:tplc="A2CE4E3A" w:tentative="1">
      <w:start w:val="1"/>
      <w:numFmt w:val="bullet"/>
      <w:lvlText w:val="•"/>
      <w:lvlJc w:val="left"/>
      <w:pPr>
        <w:tabs>
          <w:tab w:val="num" w:pos="1440"/>
        </w:tabs>
        <w:ind w:left="1440" w:hanging="360"/>
      </w:pPr>
      <w:rPr>
        <w:rFonts w:ascii="Arial" w:hAnsi="Arial" w:hint="default"/>
      </w:rPr>
    </w:lvl>
    <w:lvl w:ilvl="2" w:tplc="5A2A62FA" w:tentative="1">
      <w:start w:val="1"/>
      <w:numFmt w:val="bullet"/>
      <w:lvlText w:val="•"/>
      <w:lvlJc w:val="left"/>
      <w:pPr>
        <w:tabs>
          <w:tab w:val="num" w:pos="2160"/>
        </w:tabs>
        <w:ind w:left="2160" w:hanging="360"/>
      </w:pPr>
      <w:rPr>
        <w:rFonts w:ascii="Arial" w:hAnsi="Arial" w:hint="default"/>
      </w:rPr>
    </w:lvl>
    <w:lvl w:ilvl="3" w:tplc="9D1246AC" w:tentative="1">
      <w:start w:val="1"/>
      <w:numFmt w:val="bullet"/>
      <w:lvlText w:val="•"/>
      <w:lvlJc w:val="left"/>
      <w:pPr>
        <w:tabs>
          <w:tab w:val="num" w:pos="2880"/>
        </w:tabs>
        <w:ind w:left="2880" w:hanging="360"/>
      </w:pPr>
      <w:rPr>
        <w:rFonts w:ascii="Arial" w:hAnsi="Arial" w:hint="default"/>
      </w:rPr>
    </w:lvl>
    <w:lvl w:ilvl="4" w:tplc="9C6C5520" w:tentative="1">
      <w:start w:val="1"/>
      <w:numFmt w:val="bullet"/>
      <w:lvlText w:val="•"/>
      <w:lvlJc w:val="left"/>
      <w:pPr>
        <w:tabs>
          <w:tab w:val="num" w:pos="3600"/>
        </w:tabs>
        <w:ind w:left="3600" w:hanging="360"/>
      </w:pPr>
      <w:rPr>
        <w:rFonts w:ascii="Arial" w:hAnsi="Arial" w:hint="default"/>
      </w:rPr>
    </w:lvl>
    <w:lvl w:ilvl="5" w:tplc="3FD67256" w:tentative="1">
      <w:start w:val="1"/>
      <w:numFmt w:val="bullet"/>
      <w:lvlText w:val="•"/>
      <w:lvlJc w:val="left"/>
      <w:pPr>
        <w:tabs>
          <w:tab w:val="num" w:pos="4320"/>
        </w:tabs>
        <w:ind w:left="4320" w:hanging="360"/>
      </w:pPr>
      <w:rPr>
        <w:rFonts w:ascii="Arial" w:hAnsi="Arial" w:hint="default"/>
      </w:rPr>
    </w:lvl>
    <w:lvl w:ilvl="6" w:tplc="B0C89BFE" w:tentative="1">
      <w:start w:val="1"/>
      <w:numFmt w:val="bullet"/>
      <w:lvlText w:val="•"/>
      <w:lvlJc w:val="left"/>
      <w:pPr>
        <w:tabs>
          <w:tab w:val="num" w:pos="5040"/>
        </w:tabs>
        <w:ind w:left="5040" w:hanging="360"/>
      </w:pPr>
      <w:rPr>
        <w:rFonts w:ascii="Arial" w:hAnsi="Arial" w:hint="default"/>
      </w:rPr>
    </w:lvl>
    <w:lvl w:ilvl="7" w:tplc="EE1E8DB2" w:tentative="1">
      <w:start w:val="1"/>
      <w:numFmt w:val="bullet"/>
      <w:lvlText w:val="•"/>
      <w:lvlJc w:val="left"/>
      <w:pPr>
        <w:tabs>
          <w:tab w:val="num" w:pos="5760"/>
        </w:tabs>
        <w:ind w:left="5760" w:hanging="360"/>
      </w:pPr>
      <w:rPr>
        <w:rFonts w:ascii="Arial" w:hAnsi="Arial" w:hint="default"/>
      </w:rPr>
    </w:lvl>
    <w:lvl w:ilvl="8" w:tplc="80664A0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5833E3"/>
    <w:multiLevelType w:val="hybridMultilevel"/>
    <w:tmpl w:val="CA7EEF2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7E77462"/>
    <w:multiLevelType w:val="hybridMultilevel"/>
    <w:tmpl w:val="30C672B6"/>
    <w:lvl w:ilvl="0" w:tplc="30940206">
      <w:start w:val="1"/>
      <w:numFmt w:val="bullet"/>
      <w:lvlText w:val="•"/>
      <w:lvlJc w:val="left"/>
      <w:pPr>
        <w:tabs>
          <w:tab w:val="num" w:pos="720"/>
        </w:tabs>
        <w:ind w:left="720" w:hanging="360"/>
      </w:pPr>
      <w:rPr>
        <w:rFonts w:ascii="Arial" w:hAnsi="Arial" w:hint="default"/>
      </w:rPr>
    </w:lvl>
    <w:lvl w:ilvl="1" w:tplc="0A26B178" w:tentative="1">
      <w:start w:val="1"/>
      <w:numFmt w:val="bullet"/>
      <w:lvlText w:val="•"/>
      <w:lvlJc w:val="left"/>
      <w:pPr>
        <w:tabs>
          <w:tab w:val="num" w:pos="1440"/>
        </w:tabs>
        <w:ind w:left="1440" w:hanging="360"/>
      </w:pPr>
      <w:rPr>
        <w:rFonts w:ascii="Arial" w:hAnsi="Arial" w:hint="default"/>
      </w:rPr>
    </w:lvl>
    <w:lvl w:ilvl="2" w:tplc="B58AF0B2" w:tentative="1">
      <w:start w:val="1"/>
      <w:numFmt w:val="bullet"/>
      <w:lvlText w:val="•"/>
      <w:lvlJc w:val="left"/>
      <w:pPr>
        <w:tabs>
          <w:tab w:val="num" w:pos="2160"/>
        </w:tabs>
        <w:ind w:left="2160" w:hanging="360"/>
      </w:pPr>
      <w:rPr>
        <w:rFonts w:ascii="Arial" w:hAnsi="Arial" w:hint="default"/>
      </w:rPr>
    </w:lvl>
    <w:lvl w:ilvl="3" w:tplc="6DC0EF2A" w:tentative="1">
      <w:start w:val="1"/>
      <w:numFmt w:val="bullet"/>
      <w:lvlText w:val="•"/>
      <w:lvlJc w:val="left"/>
      <w:pPr>
        <w:tabs>
          <w:tab w:val="num" w:pos="2880"/>
        </w:tabs>
        <w:ind w:left="2880" w:hanging="360"/>
      </w:pPr>
      <w:rPr>
        <w:rFonts w:ascii="Arial" w:hAnsi="Arial" w:hint="default"/>
      </w:rPr>
    </w:lvl>
    <w:lvl w:ilvl="4" w:tplc="B56C9388" w:tentative="1">
      <w:start w:val="1"/>
      <w:numFmt w:val="bullet"/>
      <w:lvlText w:val="•"/>
      <w:lvlJc w:val="left"/>
      <w:pPr>
        <w:tabs>
          <w:tab w:val="num" w:pos="3600"/>
        </w:tabs>
        <w:ind w:left="3600" w:hanging="360"/>
      </w:pPr>
      <w:rPr>
        <w:rFonts w:ascii="Arial" w:hAnsi="Arial" w:hint="default"/>
      </w:rPr>
    </w:lvl>
    <w:lvl w:ilvl="5" w:tplc="72D252AC" w:tentative="1">
      <w:start w:val="1"/>
      <w:numFmt w:val="bullet"/>
      <w:lvlText w:val="•"/>
      <w:lvlJc w:val="left"/>
      <w:pPr>
        <w:tabs>
          <w:tab w:val="num" w:pos="4320"/>
        </w:tabs>
        <w:ind w:left="4320" w:hanging="360"/>
      </w:pPr>
      <w:rPr>
        <w:rFonts w:ascii="Arial" w:hAnsi="Arial" w:hint="default"/>
      </w:rPr>
    </w:lvl>
    <w:lvl w:ilvl="6" w:tplc="2AF8AFF8" w:tentative="1">
      <w:start w:val="1"/>
      <w:numFmt w:val="bullet"/>
      <w:lvlText w:val="•"/>
      <w:lvlJc w:val="left"/>
      <w:pPr>
        <w:tabs>
          <w:tab w:val="num" w:pos="5040"/>
        </w:tabs>
        <w:ind w:left="5040" w:hanging="360"/>
      </w:pPr>
      <w:rPr>
        <w:rFonts w:ascii="Arial" w:hAnsi="Arial" w:hint="default"/>
      </w:rPr>
    </w:lvl>
    <w:lvl w:ilvl="7" w:tplc="5BD8E328" w:tentative="1">
      <w:start w:val="1"/>
      <w:numFmt w:val="bullet"/>
      <w:lvlText w:val="•"/>
      <w:lvlJc w:val="left"/>
      <w:pPr>
        <w:tabs>
          <w:tab w:val="num" w:pos="5760"/>
        </w:tabs>
        <w:ind w:left="5760" w:hanging="360"/>
      </w:pPr>
      <w:rPr>
        <w:rFonts w:ascii="Arial" w:hAnsi="Arial" w:hint="default"/>
      </w:rPr>
    </w:lvl>
    <w:lvl w:ilvl="8" w:tplc="266411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212825"/>
    <w:multiLevelType w:val="hybridMultilevel"/>
    <w:tmpl w:val="14185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A1142B"/>
    <w:multiLevelType w:val="hybridMultilevel"/>
    <w:tmpl w:val="BE2E79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6685E51"/>
    <w:multiLevelType w:val="hybridMultilevel"/>
    <w:tmpl w:val="3348A016"/>
    <w:lvl w:ilvl="0" w:tplc="04090001">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09757B"/>
    <w:multiLevelType w:val="hybridMultilevel"/>
    <w:tmpl w:val="6FAA6066"/>
    <w:lvl w:ilvl="0" w:tplc="B6D6B646">
      <w:start w:val="1"/>
      <w:numFmt w:val="bullet"/>
      <w:lvlText w:val="•"/>
      <w:lvlJc w:val="left"/>
      <w:pPr>
        <w:tabs>
          <w:tab w:val="num" w:pos="720"/>
        </w:tabs>
        <w:ind w:left="720" w:hanging="360"/>
      </w:pPr>
      <w:rPr>
        <w:rFonts w:ascii="Arial" w:hAnsi="Arial" w:hint="default"/>
      </w:rPr>
    </w:lvl>
    <w:lvl w:ilvl="1" w:tplc="37CCF82E" w:tentative="1">
      <w:start w:val="1"/>
      <w:numFmt w:val="bullet"/>
      <w:lvlText w:val="•"/>
      <w:lvlJc w:val="left"/>
      <w:pPr>
        <w:tabs>
          <w:tab w:val="num" w:pos="1440"/>
        </w:tabs>
        <w:ind w:left="1440" w:hanging="360"/>
      </w:pPr>
      <w:rPr>
        <w:rFonts w:ascii="Arial" w:hAnsi="Arial" w:hint="default"/>
      </w:rPr>
    </w:lvl>
    <w:lvl w:ilvl="2" w:tplc="940C33F4" w:tentative="1">
      <w:start w:val="1"/>
      <w:numFmt w:val="bullet"/>
      <w:lvlText w:val="•"/>
      <w:lvlJc w:val="left"/>
      <w:pPr>
        <w:tabs>
          <w:tab w:val="num" w:pos="2160"/>
        </w:tabs>
        <w:ind w:left="2160" w:hanging="360"/>
      </w:pPr>
      <w:rPr>
        <w:rFonts w:ascii="Arial" w:hAnsi="Arial" w:hint="default"/>
      </w:rPr>
    </w:lvl>
    <w:lvl w:ilvl="3" w:tplc="63C2A2C8" w:tentative="1">
      <w:start w:val="1"/>
      <w:numFmt w:val="bullet"/>
      <w:lvlText w:val="•"/>
      <w:lvlJc w:val="left"/>
      <w:pPr>
        <w:tabs>
          <w:tab w:val="num" w:pos="2880"/>
        </w:tabs>
        <w:ind w:left="2880" w:hanging="360"/>
      </w:pPr>
      <w:rPr>
        <w:rFonts w:ascii="Arial" w:hAnsi="Arial" w:hint="default"/>
      </w:rPr>
    </w:lvl>
    <w:lvl w:ilvl="4" w:tplc="6116F3D0" w:tentative="1">
      <w:start w:val="1"/>
      <w:numFmt w:val="bullet"/>
      <w:lvlText w:val="•"/>
      <w:lvlJc w:val="left"/>
      <w:pPr>
        <w:tabs>
          <w:tab w:val="num" w:pos="3600"/>
        </w:tabs>
        <w:ind w:left="3600" w:hanging="360"/>
      </w:pPr>
      <w:rPr>
        <w:rFonts w:ascii="Arial" w:hAnsi="Arial" w:hint="default"/>
      </w:rPr>
    </w:lvl>
    <w:lvl w:ilvl="5" w:tplc="2AFC9500" w:tentative="1">
      <w:start w:val="1"/>
      <w:numFmt w:val="bullet"/>
      <w:lvlText w:val="•"/>
      <w:lvlJc w:val="left"/>
      <w:pPr>
        <w:tabs>
          <w:tab w:val="num" w:pos="4320"/>
        </w:tabs>
        <w:ind w:left="4320" w:hanging="360"/>
      </w:pPr>
      <w:rPr>
        <w:rFonts w:ascii="Arial" w:hAnsi="Arial" w:hint="default"/>
      </w:rPr>
    </w:lvl>
    <w:lvl w:ilvl="6" w:tplc="C28AA9FC" w:tentative="1">
      <w:start w:val="1"/>
      <w:numFmt w:val="bullet"/>
      <w:lvlText w:val="•"/>
      <w:lvlJc w:val="left"/>
      <w:pPr>
        <w:tabs>
          <w:tab w:val="num" w:pos="5040"/>
        </w:tabs>
        <w:ind w:left="5040" w:hanging="360"/>
      </w:pPr>
      <w:rPr>
        <w:rFonts w:ascii="Arial" w:hAnsi="Arial" w:hint="default"/>
      </w:rPr>
    </w:lvl>
    <w:lvl w:ilvl="7" w:tplc="DCEE2E1A" w:tentative="1">
      <w:start w:val="1"/>
      <w:numFmt w:val="bullet"/>
      <w:lvlText w:val="•"/>
      <w:lvlJc w:val="left"/>
      <w:pPr>
        <w:tabs>
          <w:tab w:val="num" w:pos="5760"/>
        </w:tabs>
        <w:ind w:left="5760" w:hanging="360"/>
      </w:pPr>
      <w:rPr>
        <w:rFonts w:ascii="Arial" w:hAnsi="Arial" w:hint="default"/>
      </w:rPr>
    </w:lvl>
    <w:lvl w:ilvl="8" w:tplc="0F5473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334242"/>
    <w:multiLevelType w:val="hybridMultilevel"/>
    <w:tmpl w:val="F93AAE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DF5DB9"/>
    <w:multiLevelType w:val="hybridMultilevel"/>
    <w:tmpl w:val="61347F1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B6D00C1"/>
    <w:multiLevelType w:val="hybridMultilevel"/>
    <w:tmpl w:val="61347F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E661FEF"/>
    <w:multiLevelType w:val="hybridMultilevel"/>
    <w:tmpl w:val="896096B4"/>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B4460B"/>
    <w:multiLevelType w:val="hybridMultilevel"/>
    <w:tmpl w:val="B0F2A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A8626E"/>
    <w:multiLevelType w:val="hybridMultilevel"/>
    <w:tmpl w:val="BBF2B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573A5A"/>
    <w:multiLevelType w:val="multilevel"/>
    <w:tmpl w:val="B4AC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37AFD"/>
    <w:multiLevelType w:val="hybridMultilevel"/>
    <w:tmpl w:val="46A6CB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0"/>
  </w:num>
  <w:num w:numId="5">
    <w:abstractNumId w:val="16"/>
  </w:num>
  <w:num w:numId="6">
    <w:abstractNumId w:val="35"/>
  </w:num>
  <w:num w:numId="7">
    <w:abstractNumId w:val="25"/>
  </w:num>
  <w:num w:numId="8">
    <w:abstractNumId w:val="29"/>
  </w:num>
  <w:num w:numId="9">
    <w:abstractNumId w:val="1"/>
  </w:num>
  <w:num w:numId="10">
    <w:abstractNumId w:val="27"/>
  </w:num>
  <w:num w:numId="11">
    <w:abstractNumId w:val="28"/>
  </w:num>
  <w:num w:numId="12">
    <w:abstractNumId w:val="12"/>
  </w:num>
  <w:num w:numId="13">
    <w:abstractNumId w:val="5"/>
  </w:num>
  <w:num w:numId="14">
    <w:abstractNumId w:val="19"/>
  </w:num>
  <w:num w:numId="15">
    <w:abstractNumId w:val="26"/>
  </w:num>
  <w:num w:numId="16">
    <w:abstractNumId w:val="3"/>
  </w:num>
  <w:num w:numId="17">
    <w:abstractNumId w:val="23"/>
  </w:num>
  <w:num w:numId="18">
    <w:abstractNumId w:val="15"/>
  </w:num>
  <w:num w:numId="19">
    <w:abstractNumId w:val="7"/>
  </w:num>
  <w:num w:numId="20">
    <w:abstractNumId w:val="41"/>
  </w:num>
  <w:num w:numId="21">
    <w:abstractNumId w:val="8"/>
  </w:num>
  <w:num w:numId="22">
    <w:abstractNumId w:val="31"/>
  </w:num>
  <w:num w:numId="23">
    <w:abstractNumId w:val="37"/>
  </w:num>
  <w:num w:numId="24">
    <w:abstractNumId w:val="18"/>
  </w:num>
  <w:num w:numId="25">
    <w:abstractNumId w:val="6"/>
  </w:num>
  <w:num w:numId="26">
    <w:abstractNumId w:val="6"/>
  </w:num>
  <w:num w:numId="27">
    <w:abstractNumId w:val="44"/>
  </w:num>
  <w:num w:numId="28">
    <w:abstractNumId w:val="9"/>
  </w:num>
  <w:num w:numId="29">
    <w:abstractNumId w:val="17"/>
  </w:num>
  <w:num w:numId="30">
    <w:abstractNumId w:val="30"/>
  </w:num>
  <w:num w:numId="31">
    <w:abstractNumId w:val="36"/>
  </w:num>
  <w:num w:numId="32">
    <w:abstractNumId w:val="24"/>
  </w:num>
  <w:num w:numId="33">
    <w:abstractNumId w:val="32"/>
  </w:num>
  <w:num w:numId="34">
    <w:abstractNumId w:val="14"/>
  </w:num>
  <w:num w:numId="35">
    <w:abstractNumId w:val="22"/>
  </w:num>
  <w:num w:numId="36">
    <w:abstractNumId w:val="43"/>
  </w:num>
  <w:num w:numId="37">
    <w:abstractNumId w:val="39"/>
  </w:num>
  <w:num w:numId="38">
    <w:abstractNumId w:val="33"/>
  </w:num>
  <w:num w:numId="39">
    <w:abstractNumId w:val="10"/>
  </w:num>
  <w:num w:numId="40">
    <w:abstractNumId w:val="38"/>
  </w:num>
  <w:num w:numId="41">
    <w:abstractNumId w:val="13"/>
  </w:num>
  <w:num w:numId="42">
    <w:abstractNumId w:val="20"/>
  </w:num>
  <w:num w:numId="43">
    <w:abstractNumId w:val="2"/>
  </w:num>
  <w:num w:numId="44">
    <w:abstractNumId w:val="34"/>
  </w:num>
  <w:num w:numId="45">
    <w:abstractNumId w:val="42"/>
  </w:num>
  <w:num w:numId="46">
    <w:abstractNumId w:val="11"/>
  </w:num>
  <w:num w:numId="47">
    <w:abstractNumId w:val="4"/>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03"/>
    <w:rsid w:val="00007105"/>
    <w:rsid w:val="0001092D"/>
    <w:rsid w:val="00010E37"/>
    <w:rsid w:val="000130DB"/>
    <w:rsid w:val="00016478"/>
    <w:rsid w:val="00025315"/>
    <w:rsid w:val="00025608"/>
    <w:rsid w:val="000479C8"/>
    <w:rsid w:val="00052826"/>
    <w:rsid w:val="00060039"/>
    <w:rsid w:val="00062C03"/>
    <w:rsid w:val="000678F1"/>
    <w:rsid w:val="000712D1"/>
    <w:rsid w:val="00077F2A"/>
    <w:rsid w:val="00093B3F"/>
    <w:rsid w:val="00095703"/>
    <w:rsid w:val="000A2F30"/>
    <w:rsid w:val="000B0E71"/>
    <w:rsid w:val="000B5CAE"/>
    <w:rsid w:val="000C3265"/>
    <w:rsid w:val="000C4276"/>
    <w:rsid w:val="000D5426"/>
    <w:rsid w:val="000D6210"/>
    <w:rsid w:val="000F048D"/>
    <w:rsid w:val="000F0C99"/>
    <w:rsid w:val="00105B34"/>
    <w:rsid w:val="001135BC"/>
    <w:rsid w:val="0011364B"/>
    <w:rsid w:val="0011382C"/>
    <w:rsid w:val="00116465"/>
    <w:rsid w:val="00131EE1"/>
    <w:rsid w:val="00133CDF"/>
    <w:rsid w:val="00140790"/>
    <w:rsid w:val="001514A7"/>
    <w:rsid w:val="001534E4"/>
    <w:rsid w:val="00160E15"/>
    <w:rsid w:val="00166D37"/>
    <w:rsid w:val="0017499A"/>
    <w:rsid w:val="00176258"/>
    <w:rsid w:val="00177D25"/>
    <w:rsid w:val="001A1730"/>
    <w:rsid w:val="001A2886"/>
    <w:rsid w:val="001A4BDC"/>
    <w:rsid w:val="001A5196"/>
    <w:rsid w:val="001B4F70"/>
    <w:rsid w:val="001D240C"/>
    <w:rsid w:val="001D4082"/>
    <w:rsid w:val="001D4197"/>
    <w:rsid w:val="001D5621"/>
    <w:rsid w:val="001D630F"/>
    <w:rsid w:val="001E13CB"/>
    <w:rsid w:val="001F330E"/>
    <w:rsid w:val="001F3445"/>
    <w:rsid w:val="001F4F47"/>
    <w:rsid w:val="00207E7F"/>
    <w:rsid w:val="00213806"/>
    <w:rsid w:val="00224AE8"/>
    <w:rsid w:val="00225A9F"/>
    <w:rsid w:val="00226F85"/>
    <w:rsid w:val="00242EF1"/>
    <w:rsid w:val="00243DB5"/>
    <w:rsid w:val="00243DF7"/>
    <w:rsid w:val="00247A08"/>
    <w:rsid w:val="00257AF2"/>
    <w:rsid w:val="00267446"/>
    <w:rsid w:val="0027142D"/>
    <w:rsid w:val="00273637"/>
    <w:rsid w:val="002940A5"/>
    <w:rsid w:val="002965CF"/>
    <w:rsid w:val="002A06C6"/>
    <w:rsid w:val="002A4C7D"/>
    <w:rsid w:val="002B4A1B"/>
    <w:rsid w:val="002C78A3"/>
    <w:rsid w:val="002D2BF4"/>
    <w:rsid w:val="002D426B"/>
    <w:rsid w:val="002F1A62"/>
    <w:rsid w:val="002F5F65"/>
    <w:rsid w:val="00302A42"/>
    <w:rsid w:val="0030648C"/>
    <w:rsid w:val="003071DE"/>
    <w:rsid w:val="00310845"/>
    <w:rsid w:val="00327C18"/>
    <w:rsid w:val="0034029A"/>
    <w:rsid w:val="003446C8"/>
    <w:rsid w:val="003458EF"/>
    <w:rsid w:val="00351A54"/>
    <w:rsid w:val="00351BB9"/>
    <w:rsid w:val="003554C5"/>
    <w:rsid w:val="003601BC"/>
    <w:rsid w:val="00361A40"/>
    <w:rsid w:val="00373EF5"/>
    <w:rsid w:val="0037536E"/>
    <w:rsid w:val="003775D7"/>
    <w:rsid w:val="0039143C"/>
    <w:rsid w:val="003916F9"/>
    <w:rsid w:val="003927D1"/>
    <w:rsid w:val="00392843"/>
    <w:rsid w:val="0039523E"/>
    <w:rsid w:val="003A0071"/>
    <w:rsid w:val="003B090C"/>
    <w:rsid w:val="003B5E82"/>
    <w:rsid w:val="003B6A3F"/>
    <w:rsid w:val="003C0AAD"/>
    <w:rsid w:val="003C0BE7"/>
    <w:rsid w:val="003D2C83"/>
    <w:rsid w:val="003E0E8C"/>
    <w:rsid w:val="003F04A1"/>
    <w:rsid w:val="003F374B"/>
    <w:rsid w:val="003F3A5C"/>
    <w:rsid w:val="00405AFF"/>
    <w:rsid w:val="00411239"/>
    <w:rsid w:val="00442599"/>
    <w:rsid w:val="00446862"/>
    <w:rsid w:val="00452C25"/>
    <w:rsid w:val="00453DB8"/>
    <w:rsid w:val="00455879"/>
    <w:rsid w:val="0046184C"/>
    <w:rsid w:val="004618C0"/>
    <w:rsid w:val="004621C1"/>
    <w:rsid w:val="0046384E"/>
    <w:rsid w:val="004807FD"/>
    <w:rsid w:val="00481BCA"/>
    <w:rsid w:val="00486CD8"/>
    <w:rsid w:val="00492016"/>
    <w:rsid w:val="004A0EE8"/>
    <w:rsid w:val="004C062F"/>
    <w:rsid w:val="004C16E9"/>
    <w:rsid w:val="004D2307"/>
    <w:rsid w:val="004D23AA"/>
    <w:rsid w:val="004D46F2"/>
    <w:rsid w:val="004D4A61"/>
    <w:rsid w:val="004D541C"/>
    <w:rsid w:val="004F1110"/>
    <w:rsid w:val="004F556C"/>
    <w:rsid w:val="004F6D79"/>
    <w:rsid w:val="00504E8D"/>
    <w:rsid w:val="00510DB3"/>
    <w:rsid w:val="00517458"/>
    <w:rsid w:val="005271C1"/>
    <w:rsid w:val="005518B8"/>
    <w:rsid w:val="00551CD3"/>
    <w:rsid w:val="00553347"/>
    <w:rsid w:val="00554BEC"/>
    <w:rsid w:val="00567AFB"/>
    <w:rsid w:val="005700B3"/>
    <w:rsid w:val="00574449"/>
    <w:rsid w:val="00577E76"/>
    <w:rsid w:val="005804C7"/>
    <w:rsid w:val="005861E2"/>
    <w:rsid w:val="005914B8"/>
    <w:rsid w:val="00591C0F"/>
    <w:rsid w:val="00593D90"/>
    <w:rsid w:val="0059405F"/>
    <w:rsid w:val="005A00A5"/>
    <w:rsid w:val="005A376A"/>
    <w:rsid w:val="005A4BAB"/>
    <w:rsid w:val="005A7E04"/>
    <w:rsid w:val="005B39A3"/>
    <w:rsid w:val="005C199E"/>
    <w:rsid w:val="005C1D31"/>
    <w:rsid w:val="005C5E26"/>
    <w:rsid w:val="005C6FF9"/>
    <w:rsid w:val="005C79A8"/>
    <w:rsid w:val="005D6B70"/>
    <w:rsid w:val="005E04E5"/>
    <w:rsid w:val="00606389"/>
    <w:rsid w:val="006122F6"/>
    <w:rsid w:val="006145C7"/>
    <w:rsid w:val="00616477"/>
    <w:rsid w:val="00616DA2"/>
    <w:rsid w:val="006273C1"/>
    <w:rsid w:val="0063331E"/>
    <w:rsid w:val="00635500"/>
    <w:rsid w:val="0063603F"/>
    <w:rsid w:val="006379F4"/>
    <w:rsid w:val="00654F25"/>
    <w:rsid w:val="0066081E"/>
    <w:rsid w:val="00666030"/>
    <w:rsid w:val="0067409B"/>
    <w:rsid w:val="00681FB3"/>
    <w:rsid w:val="0068679E"/>
    <w:rsid w:val="00697EC9"/>
    <w:rsid w:val="006A1211"/>
    <w:rsid w:val="006A4D9B"/>
    <w:rsid w:val="006A69D8"/>
    <w:rsid w:val="006B1642"/>
    <w:rsid w:val="006B1D25"/>
    <w:rsid w:val="006B3C24"/>
    <w:rsid w:val="006B5583"/>
    <w:rsid w:val="006B6932"/>
    <w:rsid w:val="006C5117"/>
    <w:rsid w:val="006E0693"/>
    <w:rsid w:val="006E2AD8"/>
    <w:rsid w:val="006E62B7"/>
    <w:rsid w:val="006E62D8"/>
    <w:rsid w:val="007039F4"/>
    <w:rsid w:val="00704603"/>
    <w:rsid w:val="00713568"/>
    <w:rsid w:val="0072256E"/>
    <w:rsid w:val="00725733"/>
    <w:rsid w:val="00725E8C"/>
    <w:rsid w:val="00731AE8"/>
    <w:rsid w:val="007344CA"/>
    <w:rsid w:val="00747263"/>
    <w:rsid w:val="00755112"/>
    <w:rsid w:val="0075674E"/>
    <w:rsid w:val="00760F4C"/>
    <w:rsid w:val="007657B1"/>
    <w:rsid w:val="00771969"/>
    <w:rsid w:val="00772444"/>
    <w:rsid w:val="00776AA0"/>
    <w:rsid w:val="007771B2"/>
    <w:rsid w:val="0078449A"/>
    <w:rsid w:val="00787E36"/>
    <w:rsid w:val="00794FB4"/>
    <w:rsid w:val="007A1C03"/>
    <w:rsid w:val="007A26E6"/>
    <w:rsid w:val="007A78B3"/>
    <w:rsid w:val="007C2E0A"/>
    <w:rsid w:val="007D4543"/>
    <w:rsid w:val="007E412B"/>
    <w:rsid w:val="007E46E2"/>
    <w:rsid w:val="007E5C13"/>
    <w:rsid w:val="007F2312"/>
    <w:rsid w:val="00804DBF"/>
    <w:rsid w:val="008079EF"/>
    <w:rsid w:val="00837717"/>
    <w:rsid w:val="008407FE"/>
    <w:rsid w:val="00853889"/>
    <w:rsid w:val="00861F91"/>
    <w:rsid w:val="00865536"/>
    <w:rsid w:val="0087122F"/>
    <w:rsid w:val="00872EF0"/>
    <w:rsid w:val="00873FC8"/>
    <w:rsid w:val="008744AB"/>
    <w:rsid w:val="00874B2C"/>
    <w:rsid w:val="00892887"/>
    <w:rsid w:val="00894359"/>
    <w:rsid w:val="0089474E"/>
    <w:rsid w:val="008971E4"/>
    <w:rsid w:val="008A3073"/>
    <w:rsid w:val="008B1E8C"/>
    <w:rsid w:val="008B31FB"/>
    <w:rsid w:val="008B3324"/>
    <w:rsid w:val="008B558B"/>
    <w:rsid w:val="008C7FFE"/>
    <w:rsid w:val="008D2943"/>
    <w:rsid w:val="008D389B"/>
    <w:rsid w:val="008D42C2"/>
    <w:rsid w:val="008D4F1F"/>
    <w:rsid w:val="008E01F6"/>
    <w:rsid w:val="008E3605"/>
    <w:rsid w:val="008E7CD3"/>
    <w:rsid w:val="00913998"/>
    <w:rsid w:val="0091531F"/>
    <w:rsid w:val="009167CC"/>
    <w:rsid w:val="00922706"/>
    <w:rsid w:val="00923D00"/>
    <w:rsid w:val="0092466B"/>
    <w:rsid w:val="009318A9"/>
    <w:rsid w:val="009462FC"/>
    <w:rsid w:val="00946F4E"/>
    <w:rsid w:val="009522E2"/>
    <w:rsid w:val="009555F6"/>
    <w:rsid w:val="009608A0"/>
    <w:rsid w:val="00964A2D"/>
    <w:rsid w:val="00971FA7"/>
    <w:rsid w:val="0097707C"/>
    <w:rsid w:val="00981885"/>
    <w:rsid w:val="00981B29"/>
    <w:rsid w:val="00983B61"/>
    <w:rsid w:val="009851FA"/>
    <w:rsid w:val="009A2E42"/>
    <w:rsid w:val="009B1DA8"/>
    <w:rsid w:val="009C383A"/>
    <w:rsid w:val="009C75AF"/>
    <w:rsid w:val="009D332D"/>
    <w:rsid w:val="009D5F56"/>
    <w:rsid w:val="009D6149"/>
    <w:rsid w:val="009E1C2B"/>
    <w:rsid w:val="009E4647"/>
    <w:rsid w:val="009E5FE2"/>
    <w:rsid w:val="009E72D3"/>
    <w:rsid w:val="009F12D8"/>
    <w:rsid w:val="009F438E"/>
    <w:rsid w:val="00A00184"/>
    <w:rsid w:val="00A12876"/>
    <w:rsid w:val="00A22DD5"/>
    <w:rsid w:val="00A24412"/>
    <w:rsid w:val="00A3307B"/>
    <w:rsid w:val="00A50741"/>
    <w:rsid w:val="00A52456"/>
    <w:rsid w:val="00A553DB"/>
    <w:rsid w:val="00A556C1"/>
    <w:rsid w:val="00A55CD4"/>
    <w:rsid w:val="00A64223"/>
    <w:rsid w:val="00A64E8A"/>
    <w:rsid w:val="00A72528"/>
    <w:rsid w:val="00A85FD4"/>
    <w:rsid w:val="00A90ACE"/>
    <w:rsid w:val="00A94B99"/>
    <w:rsid w:val="00AA0A4E"/>
    <w:rsid w:val="00AA0B62"/>
    <w:rsid w:val="00AA6122"/>
    <w:rsid w:val="00AB0080"/>
    <w:rsid w:val="00AB15E3"/>
    <w:rsid w:val="00AC036F"/>
    <w:rsid w:val="00AC0EAD"/>
    <w:rsid w:val="00AC1679"/>
    <w:rsid w:val="00AC3D5E"/>
    <w:rsid w:val="00AC70ED"/>
    <w:rsid w:val="00AD79FC"/>
    <w:rsid w:val="00AF09B9"/>
    <w:rsid w:val="00B01A24"/>
    <w:rsid w:val="00B02D1D"/>
    <w:rsid w:val="00B02E19"/>
    <w:rsid w:val="00B0627C"/>
    <w:rsid w:val="00B11481"/>
    <w:rsid w:val="00B22FA0"/>
    <w:rsid w:val="00B26442"/>
    <w:rsid w:val="00B40A78"/>
    <w:rsid w:val="00B4505F"/>
    <w:rsid w:val="00B452A4"/>
    <w:rsid w:val="00B46233"/>
    <w:rsid w:val="00B52242"/>
    <w:rsid w:val="00B53973"/>
    <w:rsid w:val="00B622C0"/>
    <w:rsid w:val="00B64A78"/>
    <w:rsid w:val="00B64FAE"/>
    <w:rsid w:val="00B72CA4"/>
    <w:rsid w:val="00B83625"/>
    <w:rsid w:val="00B8496D"/>
    <w:rsid w:val="00B925C1"/>
    <w:rsid w:val="00B972D2"/>
    <w:rsid w:val="00BA04F1"/>
    <w:rsid w:val="00BA1035"/>
    <w:rsid w:val="00BA1240"/>
    <w:rsid w:val="00BA581A"/>
    <w:rsid w:val="00BB2688"/>
    <w:rsid w:val="00BB61A1"/>
    <w:rsid w:val="00BC5E12"/>
    <w:rsid w:val="00BE03DB"/>
    <w:rsid w:val="00BE14F3"/>
    <w:rsid w:val="00BE76D1"/>
    <w:rsid w:val="00BF5C2B"/>
    <w:rsid w:val="00BF72F4"/>
    <w:rsid w:val="00BF75F3"/>
    <w:rsid w:val="00C017A1"/>
    <w:rsid w:val="00C03635"/>
    <w:rsid w:val="00C071C2"/>
    <w:rsid w:val="00C10145"/>
    <w:rsid w:val="00C1229A"/>
    <w:rsid w:val="00C25C66"/>
    <w:rsid w:val="00C31148"/>
    <w:rsid w:val="00C32B0E"/>
    <w:rsid w:val="00C32F28"/>
    <w:rsid w:val="00C3492E"/>
    <w:rsid w:val="00C365D0"/>
    <w:rsid w:val="00C40DA7"/>
    <w:rsid w:val="00C45902"/>
    <w:rsid w:val="00C45E6A"/>
    <w:rsid w:val="00C50A69"/>
    <w:rsid w:val="00C55FD6"/>
    <w:rsid w:val="00C56BBE"/>
    <w:rsid w:val="00C56FD3"/>
    <w:rsid w:val="00C5757F"/>
    <w:rsid w:val="00C63525"/>
    <w:rsid w:val="00C7069A"/>
    <w:rsid w:val="00C8093A"/>
    <w:rsid w:val="00C8570B"/>
    <w:rsid w:val="00C90862"/>
    <w:rsid w:val="00C90E59"/>
    <w:rsid w:val="00C91787"/>
    <w:rsid w:val="00C95FDB"/>
    <w:rsid w:val="00CB0D75"/>
    <w:rsid w:val="00CB13C1"/>
    <w:rsid w:val="00CD6143"/>
    <w:rsid w:val="00CE7705"/>
    <w:rsid w:val="00D04F5D"/>
    <w:rsid w:val="00D0705F"/>
    <w:rsid w:val="00D10735"/>
    <w:rsid w:val="00D1218B"/>
    <w:rsid w:val="00D27C92"/>
    <w:rsid w:val="00D47970"/>
    <w:rsid w:val="00D53666"/>
    <w:rsid w:val="00D54E71"/>
    <w:rsid w:val="00D60207"/>
    <w:rsid w:val="00D615E2"/>
    <w:rsid w:val="00D6591B"/>
    <w:rsid w:val="00D663DC"/>
    <w:rsid w:val="00D70ED9"/>
    <w:rsid w:val="00D70F91"/>
    <w:rsid w:val="00D743F6"/>
    <w:rsid w:val="00D75A4F"/>
    <w:rsid w:val="00D82E2A"/>
    <w:rsid w:val="00D93EB7"/>
    <w:rsid w:val="00DA764E"/>
    <w:rsid w:val="00DB351E"/>
    <w:rsid w:val="00DB369F"/>
    <w:rsid w:val="00DB4DC8"/>
    <w:rsid w:val="00DB7676"/>
    <w:rsid w:val="00DC0A2F"/>
    <w:rsid w:val="00DC719E"/>
    <w:rsid w:val="00DD100F"/>
    <w:rsid w:val="00DE05D0"/>
    <w:rsid w:val="00E007FA"/>
    <w:rsid w:val="00E037F0"/>
    <w:rsid w:val="00E0388C"/>
    <w:rsid w:val="00E11C91"/>
    <w:rsid w:val="00E321E2"/>
    <w:rsid w:val="00E36B65"/>
    <w:rsid w:val="00E40828"/>
    <w:rsid w:val="00E418A4"/>
    <w:rsid w:val="00E41B12"/>
    <w:rsid w:val="00E42B4F"/>
    <w:rsid w:val="00E5261D"/>
    <w:rsid w:val="00E7262F"/>
    <w:rsid w:val="00E7590E"/>
    <w:rsid w:val="00E75D6D"/>
    <w:rsid w:val="00E767CC"/>
    <w:rsid w:val="00E82D51"/>
    <w:rsid w:val="00E834AE"/>
    <w:rsid w:val="00E85956"/>
    <w:rsid w:val="00EA2AA0"/>
    <w:rsid w:val="00EA78F8"/>
    <w:rsid w:val="00EB012C"/>
    <w:rsid w:val="00EB207D"/>
    <w:rsid w:val="00EB2AE8"/>
    <w:rsid w:val="00EB787C"/>
    <w:rsid w:val="00EC566D"/>
    <w:rsid w:val="00EC6DD1"/>
    <w:rsid w:val="00ED057E"/>
    <w:rsid w:val="00ED23E4"/>
    <w:rsid w:val="00ED61A0"/>
    <w:rsid w:val="00EE7D83"/>
    <w:rsid w:val="00EF28FD"/>
    <w:rsid w:val="00EF31B6"/>
    <w:rsid w:val="00F0335B"/>
    <w:rsid w:val="00F0520A"/>
    <w:rsid w:val="00F10D08"/>
    <w:rsid w:val="00F11909"/>
    <w:rsid w:val="00F207BF"/>
    <w:rsid w:val="00F214C9"/>
    <w:rsid w:val="00F215CB"/>
    <w:rsid w:val="00F332F0"/>
    <w:rsid w:val="00F33891"/>
    <w:rsid w:val="00F35008"/>
    <w:rsid w:val="00F409F5"/>
    <w:rsid w:val="00F42134"/>
    <w:rsid w:val="00F42C86"/>
    <w:rsid w:val="00F4657E"/>
    <w:rsid w:val="00F50BAA"/>
    <w:rsid w:val="00F51860"/>
    <w:rsid w:val="00F55473"/>
    <w:rsid w:val="00F6580A"/>
    <w:rsid w:val="00F950B8"/>
    <w:rsid w:val="00F9660F"/>
    <w:rsid w:val="00FA332A"/>
    <w:rsid w:val="00FC561F"/>
    <w:rsid w:val="00FD0ABD"/>
    <w:rsid w:val="00FD1E8C"/>
    <w:rsid w:val="00FD2E97"/>
    <w:rsid w:val="00FD593D"/>
    <w:rsid w:val="00FD7490"/>
    <w:rsid w:val="00FE0200"/>
    <w:rsid w:val="00FF0330"/>
    <w:rsid w:val="00FF22A8"/>
    <w:rsid w:val="00FF29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752AB"/>
  <w15:chartTrackingRefBased/>
  <w15:docId w15:val="{42765FA4-F5F7-427E-938F-A9DF6D28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03"/>
    <w:pPr>
      <w:spacing w:after="0" w:line="240" w:lineRule="auto"/>
    </w:pPr>
    <w:rPr>
      <w:rFonts w:ascii="Times New Roman" w:eastAsia="Times New Roman" w:hAnsi="Times New Roman" w:cs="Times New Roman"/>
      <w:spacing w:val="-3"/>
      <w:sz w:val="24"/>
      <w:szCs w:val="20"/>
    </w:rPr>
  </w:style>
  <w:style w:type="paragraph" w:styleId="Titre1">
    <w:name w:val="heading 1"/>
    <w:basedOn w:val="Normal"/>
    <w:next w:val="Normal"/>
    <w:link w:val="Titre1Car"/>
    <w:qFormat/>
    <w:rsid w:val="00A72528"/>
    <w:pPr>
      <w:keepNext/>
      <w:numPr>
        <w:numId w:val="1"/>
      </w:numPr>
      <w:spacing w:before="240" w:after="240"/>
      <w:outlineLvl w:val="0"/>
    </w:pPr>
    <w:rPr>
      <w:b/>
      <w:color w:val="4472C4" w:themeColor="accent1"/>
      <w:kern w:val="28"/>
      <w:sz w:val="32"/>
    </w:rPr>
  </w:style>
  <w:style w:type="paragraph" w:styleId="Titre2">
    <w:name w:val="heading 2"/>
    <w:basedOn w:val="Normal"/>
    <w:next w:val="Normal"/>
    <w:link w:val="Titre2Car"/>
    <w:qFormat/>
    <w:rsid w:val="00A72528"/>
    <w:pPr>
      <w:keepNext/>
      <w:numPr>
        <w:ilvl w:val="1"/>
        <w:numId w:val="1"/>
      </w:numPr>
      <w:spacing w:before="240" w:after="240"/>
      <w:outlineLvl w:val="1"/>
    </w:pPr>
    <w:rPr>
      <w:b/>
      <w:color w:val="4472C4" w:themeColor="accent1"/>
      <w:sz w:val="28"/>
    </w:rPr>
  </w:style>
  <w:style w:type="paragraph" w:styleId="Titre3">
    <w:name w:val="heading 3"/>
    <w:basedOn w:val="Normal"/>
    <w:next w:val="Normal"/>
    <w:link w:val="Titre3Car"/>
    <w:qFormat/>
    <w:rsid w:val="00A72528"/>
    <w:pPr>
      <w:keepNext/>
      <w:numPr>
        <w:ilvl w:val="2"/>
        <w:numId w:val="1"/>
      </w:numPr>
      <w:spacing w:before="240" w:after="240"/>
      <w:outlineLvl w:val="2"/>
    </w:pPr>
    <w:rPr>
      <w:b/>
      <w:color w:val="4472C4" w:themeColor="accent1"/>
    </w:rPr>
  </w:style>
  <w:style w:type="paragraph" w:styleId="Titre4">
    <w:name w:val="heading 4"/>
    <w:basedOn w:val="Normal"/>
    <w:next w:val="Normal"/>
    <w:link w:val="Titre4Car"/>
    <w:qFormat/>
    <w:rsid w:val="00062C03"/>
    <w:pPr>
      <w:keepNext/>
      <w:numPr>
        <w:ilvl w:val="3"/>
        <w:numId w:val="1"/>
      </w:numPr>
      <w:spacing w:before="240" w:after="240"/>
      <w:outlineLvl w:val="3"/>
    </w:pPr>
    <w:rPr>
      <w:b/>
      <w:i/>
    </w:rPr>
  </w:style>
  <w:style w:type="paragraph" w:styleId="Titre5">
    <w:name w:val="heading 5"/>
    <w:basedOn w:val="Normal"/>
    <w:next w:val="Normal"/>
    <w:link w:val="Titre5Car"/>
    <w:qFormat/>
    <w:rsid w:val="00062C03"/>
    <w:pPr>
      <w:numPr>
        <w:ilvl w:val="4"/>
        <w:numId w:val="1"/>
      </w:numPr>
      <w:spacing w:before="240" w:after="240"/>
      <w:outlineLvl w:val="4"/>
    </w:pPr>
    <w:rPr>
      <w:b/>
      <w:i/>
    </w:rPr>
  </w:style>
  <w:style w:type="paragraph" w:styleId="Titre6">
    <w:name w:val="heading 6"/>
    <w:basedOn w:val="Normal"/>
    <w:next w:val="Normal"/>
    <w:link w:val="Titre6Car"/>
    <w:qFormat/>
    <w:rsid w:val="00062C03"/>
    <w:pPr>
      <w:numPr>
        <w:ilvl w:val="5"/>
        <w:numId w:val="1"/>
      </w:numPr>
      <w:spacing w:before="240" w:after="60"/>
      <w:outlineLvl w:val="5"/>
    </w:pPr>
    <w:rPr>
      <w:rFonts w:ascii="Arial" w:hAnsi="Arial"/>
      <w:i/>
      <w:sz w:val="22"/>
    </w:rPr>
  </w:style>
  <w:style w:type="paragraph" w:styleId="Titre7">
    <w:name w:val="heading 7"/>
    <w:basedOn w:val="Normal"/>
    <w:next w:val="Normal"/>
    <w:link w:val="Titre7Car"/>
    <w:qFormat/>
    <w:rsid w:val="00062C03"/>
    <w:pPr>
      <w:numPr>
        <w:ilvl w:val="6"/>
        <w:numId w:val="1"/>
      </w:numPr>
      <w:spacing w:before="240" w:after="60"/>
      <w:outlineLvl w:val="6"/>
    </w:pPr>
    <w:rPr>
      <w:rFonts w:ascii="Arial" w:hAnsi="Arial"/>
      <w:sz w:val="20"/>
    </w:rPr>
  </w:style>
  <w:style w:type="paragraph" w:styleId="Titre8">
    <w:name w:val="heading 8"/>
    <w:basedOn w:val="Normal"/>
    <w:next w:val="Normal"/>
    <w:link w:val="Titre8Car"/>
    <w:qFormat/>
    <w:rsid w:val="00062C03"/>
    <w:pPr>
      <w:numPr>
        <w:ilvl w:val="7"/>
        <w:numId w:val="1"/>
      </w:numPr>
      <w:spacing w:before="240" w:after="60"/>
      <w:outlineLvl w:val="7"/>
    </w:pPr>
    <w:rPr>
      <w:rFonts w:ascii="Arial" w:hAnsi="Arial"/>
      <w:i/>
      <w:sz w:val="20"/>
    </w:rPr>
  </w:style>
  <w:style w:type="paragraph" w:styleId="Titre9">
    <w:name w:val="heading 9"/>
    <w:basedOn w:val="Normal"/>
    <w:next w:val="Normal"/>
    <w:link w:val="Titre9Car"/>
    <w:qFormat/>
    <w:rsid w:val="00062C03"/>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72528"/>
    <w:rPr>
      <w:rFonts w:ascii="Times New Roman" w:eastAsia="Times New Roman" w:hAnsi="Times New Roman" w:cs="Times New Roman"/>
      <w:b/>
      <w:color w:val="4472C4" w:themeColor="accent1"/>
      <w:spacing w:val="-3"/>
      <w:kern w:val="28"/>
      <w:sz w:val="32"/>
      <w:szCs w:val="20"/>
    </w:rPr>
  </w:style>
  <w:style w:type="character" w:customStyle="1" w:styleId="Titre2Car">
    <w:name w:val="Titre 2 Car"/>
    <w:basedOn w:val="Policepardfaut"/>
    <w:link w:val="Titre2"/>
    <w:rsid w:val="00A72528"/>
    <w:rPr>
      <w:rFonts w:ascii="Times New Roman" w:eastAsia="Times New Roman" w:hAnsi="Times New Roman" w:cs="Times New Roman"/>
      <w:b/>
      <w:color w:val="4472C4" w:themeColor="accent1"/>
      <w:spacing w:val="-3"/>
      <w:sz w:val="28"/>
      <w:szCs w:val="20"/>
    </w:rPr>
  </w:style>
  <w:style w:type="character" w:customStyle="1" w:styleId="Titre3Car">
    <w:name w:val="Titre 3 Car"/>
    <w:basedOn w:val="Policepardfaut"/>
    <w:link w:val="Titre3"/>
    <w:rsid w:val="00A72528"/>
    <w:rPr>
      <w:rFonts w:ascii="Times New Roman" w:eastAsia="Times New Roman" w:hAnsi="Times New Roman" w:cs="Times New Roman"/>
      <w:b/>
      <w:color w:val="4472C4" w:themeColor="accent1"/>
      <w:spacing w:val="-3"/>
      <w:sz w:val="24"/>
      <w:szCs w:val="20"/>
    </w:rPr>
  </w:style>
  <w:style w:type="character" w:customStyle="1" w:styleId="Titre4Car">
    <w:name w:val="Titre 4 Car"/>
    <w:basedOn w:val="Policepardfaut"/>
    <w:link w:val="Titre4"/>
    <w:rsid w:val="00062C03"/>
    <w:rPr>
      <w:rFonts w:ascii="Times New Roman" w:eastAsia="Times New Roman" w:hAnsi="Times New Roman" w:cs="Times New Roman"/>
      <w:b/>
      <w:i/>
      <w:spacing w:val="-3"/>
      <w:sz w:val="24"/>
      <w:szCs w:val="20"/>
      <w:lang w:val="fr-FR"/>
    </w:rPr>
  </w:style>
  <w:style w:type="character" w:customStyle="1" w:styleId="Titre5Car">
    <w:name w:val="Titre 5 Car"/>
    <w:basedOn w:val="Policepardfaut"/>
    <w:link w:val="Titre5"/>
    <w:rsid w:val="00062C03"/>
    <w:rPr>
      <w:rFonts w:ascii="Times New Roman" w:eastAsia="Times New Roman" w:hAnsi="Times New Roman" w:cs="Times New Roman"/>
      <w:b/>
      <w:i/>
      <w:spacing w:val="-3"/>
      <w:sz w:val="24"/>
      <w:szCs w:val="20"/>
      <w:lang w:val="fr-FR"/>
    </w:rPr>
  </w:style>
  <w:style w:type="character" w:customStyle="1" w:styleId="Titre6Car">
    <w:name w:val="Titre 6 Car"/>
    <w:basedOn w:val="Policepardfaut"/>
    <w:link w:val="Titre6"/>
    <w:rsid w:val="00062C03"/>
    <w:rPr>
      <w:rFonts w:ascii="Arial" w:eastAsia="Times New Roman" w:hAnsi="Arial" w:cs="Times New Roman"/>
      <w:i/>
      <w:spacing w:val="-3"/>
      <w:szCs w:val="20"/>
      <w:lang w:val="fr-FR"/>
    </w:rPr>
  </w:style>
  <w:style w:type="character" w:customStyle="1" w:styleId="Titre7Car">
    <w:name w:val="Titre 7 Car"/>
    <w:basedOn w:val="Policepardfaut"/>
    <w:link w:val="Titre7"/>
    <w:rsid w:val="00062C03"/>
    <w:rPr>
      <w:rFonts w:ascii="Arial" w:eastAsia="Times New Roman" w:hAnsi="Arial" w:cs="Times New Roman"/>
      <w:spacing w:val="-3"/>
      <w:sz w:val="20"/>
      <w:szCs w:val="20"/>
      <w:lang w:val="fr-FR"/>
    </w:rPr>
  </w:style>
  <w:style w:type="character" w:customStyle="1" w:styleId="Titre8Car">
    <w:name w:val="Titre 8 Car"/>
    <w:basedOn w:val="Policepardfaut"/>
    <w:link w:val="Titre8"/>
    <w:rsid w:val="00062C03"/>
    <w:rPr>
      <w:rFonts w:ascii="Arial" w:eastAsia="Times New Roman" w:hAnsi="Arial" w:cs="Times New Roman"/>
      <w:i/>
      <w:spacing w:val="-3"/>
      <w:sz w:val="20"/>
      <w:szCs w:val="20"/>
      <w:lang w:val="fr-FR"/>
    </w:rPr>
  </w:style>
  <w:style w:type="character" w:customStyle="1" w:styleId="Titre9Car">
    <w:name w:val="Titre 9 Car"/>
    <w:basedOn w:val="Policepardfaut"/>
    <w:link w:val="Titre9"/>
    <w:rsid w:val="00062C03"/>
    <w:rPr>
      <w:rFonts w:ascii="Arial" w:eastAsia="Times New Roman" w:hAnsi="Arial" w:cs="Times New Roman"/>
      <w:i/>
      <w:spacing w:val="-3"/>
      <w:sz w:val="18"/>
      <w:szCs w:val="20"/>
      <w:lang w:val="fr-FR"/>
    </w:rPr>
  </w:style>
  <w:style w:type="character" w:styleId="Appelnotedebasdep">
    <w:name w:val="footnote reference"/>
    <w:aliases w:val="Footnote symbol,Footnote reference number,note TESI,NOTE BAS DE PAGE,Footnote Reference_LVL6"/>
    <w:uiPriority w:val="99"/>
    <w:rsid w:val="00062C03"/>
    <w:rPr>
      <w:vertAlign w:val="superscript"/>
    </w:rPr>
  </w:style>
  <w:style w:type="paragraph" w:styleId="Notedebasdepage">
    <w:name w:val="footnote text"/>
    <w:aliases w:val="Footnote Text Char Char,Footnote Text Char,Note de bas de page Car1,Note de bas de page Car Car,Footnotes Car,Note de bas de page Car2 Car Car Car,Note de bas de page Car1 Car Car Car Car,Note de bas de page Car Car Car Car Car Car"/>
    <w:basedOn w:val="Normal"/>
    <w:link w:val="NotedebasdepageCar"/>
    <w:uiPriority w:val="99"/>
    <w:qFormat/>
    <w:rsid w:val="00062C03"/>
    <w:pPr>
      <w:jc w:val="both"/>
    </w:pPr>
    <w:rPr>
      <w:spacing w:val="0"/>
      <w:sz w:val="20"/>
      <w:lang w:val="en-US"/>
    </w:rPr>
  </w:style>
  <w:style w:type="character" w:customStyle="1" w:styleId="NotedebasdepageCar">
    <w:name w:val="Note de bas de page Car"/>
    <w:aliases w:val="Footnote Text Char Char Car,Footnote Text Char Car,Note de bas de page Car1 Car,Note de bas de page Car Car Car,Footnotes Car Car,Note de bas de page Car2 Car Car Car Car,Note de bas de page Car1 Car Car Car Car Car"/>
    <w:basedOn w:val="Policepardfaut"/>
    <w:link w:val="Notedebasdepage"/>
    <w:uiPriority w:val="99"/>
    <w:rsid w:val="00062C03"/>
    <w:rPr>
      <w:rFonts w:ascii="Times New Roman" w:eastAsia="Times New Roman" w:hAnsi="Times New Roman" w:cs="Times New Roman"/>
      <w:sz w:val="20"/>
      <w:szCs w:val="20"/>
      <w:lang w:val="en-US"/>
    </w:rPr>
  </w:style>
  <w:style w:type="paragraph" w:styleId="Lgende">
    <w:name w:val="caption"/>
    <w:basedOn w:val="Normal"/>
    <w:next w:val="Normal"/>
    <w:qFormat/>
    <w:rsid w:val="00062C03"/>
    <w:pPr>
      <w:spacing w:before="120" w:after="120"/>
      <w:jc w:val="center"/>
    </w:pPr>
    <w:rPr>
      <w:b/>
    </w:rPr>
  </w:style>
  <w:style w:type="paragraph" w:styleId="Corpsdetexte">
    <w:name w:val="Body Text"/>
    <w:basedOn w:val="Normal"/>
    <w:link w:val="CorpsdetexteCar"/>
    <w:rsid w:val="00062C03"/>
    <w:pPr>
      <w:tabs>
        <w:tab w:val="left" w:pos="5387"/>
      </w:tabs>
      <w:spacing w:after="120" w:line="360" w:lineRule="auto"/>
      <w:jc w:val="both"/>
    </w:pPr>
  </w:style>
  <w:style w:type="character" w:customStyle="1" w:styleId="CorpsdetexteCar">
    <w:name w:val="Corps de texte Car"/>
    <w:basedOn w:val="Policepardfaut"/>
    <w:link w:val="Corpsdetexte"/>
    <w:rsid w:val="00062C03"/>
    <w:rPr>
      <w:rFonts w:ascii="Times New Roman" w:eastAsia="Times New Roman" w:hAnsi="Times New Roman" w:cs="Times New Roman"/>
      <w:spacing w:val="-3"/>
      <w:sz w:val="24"/>
      <w:szCs w:val="20"/>
      <w:lang w:val="fr-FR"/>
    </w:rPr>
  </w:style>
  <w:style w:type="character" w:styleId="Numrodepage">
    <w:name w:val="page number"/>
    <w:basedOn w:val="Policepardfaut"/>
    <w:rsid w:val="00062C03"/>
  </w:style>
  <w:style w:type="paragraph" w:styleId="Pieddepage">
    <w:name w:val="footer"/>
    <w:basedOn w:val="Normal"/>
    <w:link w:val="PieddepageCar"/>
    <w:uiPriority w:val="99"/>
    <w:rsid w:val="00062C03"/>
    <w:pPr>
      <w:tabs>
        <w:tab w:val="center" w:pos="4819"/>
        <w:tab w:val="right" w:pos="9071"/>
      </w:tabs>
    </w:pPr>
    <w:rPr>
      <w:spacing w:val="0"/>
      <w:sz w:val="20"/>
      <w:lang w:bidi="he-IL"/>
    </w:rPr>
  </w:style>
  <w:style w:type="character" w:customStyle="1" w:styleId="PieddepageCar">
    <w:name w:val="Pied de page Car"/>
    <w:basedOn w:val="Policepardfaut"/>
    <w:link w:val="Pieddepage"/>
    <w:uiPriority w:val="99"/>
    <w:rsid w:val="00062C03"/>
    <w:rPr>
      <w:rFonts w:ascii="Times New Roman" w:eastAsia="Times New Roman" w:hAnsi="Times New Roman" w:cs="Times New Roman"/>
      <w:sz w:val="20"/>
      <w:szCs w:val="20"/>
      <w:lang w:val="fr-FR" w:bidi="he-IL"/>
    </w:rPr>
  </w:style>
  <w:style w:type="paragraph" w:styleId="En-tte">
    <w:name w:val="header"/>
    <w:basedOn w:val="Normal"/>
    <w:link w:val="En-tteCar"/>
    <w:rsid w:val="00062C03"/>
    <w:pPr>
      <w:tabs>
        <w:tab w:val="center" w:pos="4536"/>
        <w:tab w:val="right" w:pos="9072"/>
      </w:tabs>
    </w:pPr>
  </w:style>
  <w:style w:type="character" w:customStyle="1" w:styleId="En-tteCar">
    <w:name w:val="En-tête Car"/>
    <w:basedOn w:val="Policepardfaut"/>
    <w:link w:val="En-tte"/>
    <w:rsid w:val="00062C03"/>
    <w:rPr>
      <w:rFonts w:ascii="Times New Roman" w:eastAsia="Times New Roman" w:hAnsi="Times New Roman" w:cs="Times New Roman"/>
      <w:spacing w:val="-3"/>
      <w:sz w:val="24"/>
      <w:szCs w:val="20"/>
      <w:lang w:val="fr-FR"/>
    </w:rPr>
  </w:style>
  <w:style w:type="paragraph" w:styleId="TM1">
    <w:name w:val="toc 1"/>
    <w:basedOn w:val="Normal"/>
    <w:next w:val="Normal"/>
    <w:uiPriority w:val="39"/>
    <w:rsid w:val="00062C03"/>
    <w:pPr>
      <w:tabs>
        <w:tab w:val="right" w:leader="dot" w:pos="9355"/>
      </w:tabs>
      <w:spacing w:before="120" w:after="120"/>
    </w:pPr>
    <w:rPr>
      <w:b/>
      <w:caps/>
      <w:sz w:val="20"/>
    </w:rPr>
  </w:style>
  <w:style w:type="paragraph" w:styleId="TM2">
    <w:name w:val="toc 2"/>
    <w:basedOn w:val="Normal"/>
    <w:next w:val="Normal"/>
    <w:uiPriority w:val="39"/>
    <w:rsid w:val="00062C03"/>
    <w:pPr>
      <w:tabs>
        <w:tab w:val="right" w:leader="dot" w:pos="9355"/>
      </w:tabs>
    </w:pPr>
    <w:rPr>
      <w:smallCaps/>
      <w:sz w:val="20"/>
    </w:rPr>
  </w:style>
  <w:style w:type="paragraph" w:styleId="TM3">
    <w:name w:val="toc 3"/>
    <w:basedOn w:val="Normal"/>
    <w:next w:val="Normal"/>
    <w:uiPriority w:val="39"/>
    <w:rsid w:val="00062C03"/>
    <w:pPr>
      <w:tabs>
        <w:tab w:val="right" w:leader="dot" w:pos="9355"/>
      </w:tabs>
      <w:ind w:left="240"/>
    </w:pPr>
    <w:rPr>
      <w:i/>
      <w:sz w:val="20"/>
    </w:rPr>
  </w:style>
  <w:style w:type="paragraph" w:styleId="TM4">
    <w:name w:val="toc 4"/>
    <w:basedOn w:val="Normal"/>
    <w:next w:val="Normal"/>
    <w:uiPriority w:val="39"/>
    <w:rsid w:val="00062C03"/>
    <w:pPr>
      <w:tabs>
        <w:tab w:val="right" w:leader="dot" w:pos="9355"/>
      </w:tabs>
      <w:ind w:left="480"/>
    </w:pPr>
    <w:rPr>
      <w:sz w:val="18"/>
    </w:rPr>
  </w:style>
  <w:style w:type="paragraph" w:styleId="TM5">
    <w:name w:val="toc 5"/>
    <w:basedOn w:val="Normal"/>
    <w:next w:val="Normal"/>
    <w:uiPriority w:val="39"/>
    <w:rsid w:val="00062C03"/>
    <w:pPr>
      <w:tabs>
        <w:tab w:val="right" w:leader="dot" w:pos="9355"/>
      </w:tabs>
      <w:ind w:left="720"/>
    </w:pPr>
    <w:rPr>
      <w:sz w:val="18"/>
    </w:rPr>
  </w:style>
  <w:style w:type="paragraph" w:styleId="TM6">
    <w:name w:val="toc 6"/>
    <w:basedOn w:val="Normal"/>
    <w:next w:val="Normal"/>
    <w:uiPriority w:val="39"/>
    <w:rsid w:val="00062C03"/>
    <w:pPr>
      <w:tabs>
        <w:tab w:val="right" w:leader="dot" w:pos="9355"/>
      </w:tabs>
      <w:ind w:left="960"/>
    </w:pPr>
    <w:rPr>
      <w:sz w:val="18"/>
    </w:rPr>
  </w:style>
  <w:style w:type="paragraph" w:styleId="TM7">
    <w:name w:val="toc 7"/>
    <w:basedOn w:val="Normal"/>
    <w:next w:val="Normal"/>
    <w:uiPriority w:val="39"/>
    <w:rsid w:val="00062C03"/>
    <w:pPr>
      <w:tabs>
        <w:tab w:val="right" w:leader="dot" w:pos="9355"/>
      </w:tabs>
      <w:ind w:left="1200"/>
    </w:pPr>
    <w:rPr>
      <w:sz w:val="18"/>
    </w:rPr>
  </w:style>
  <w:style w:type="paragraph" w:styleId="TM8">
    <w:name w:val="toc 8"/>
    <w:basedOn w:val="Normal"/>
    <w:next w:val="Normal"/>
    <w:uiPriority w:val="39"/>
    <w:rsid w:val="00062C03"/>
    <w:pPr>
      <w:tabs>
        <w:tab w:val="right" w:leader="dot" w:pos="9355"/>
      </w:tabs>
      <w:ind w:left="1440"/>
    </w:pPr>
    <w:rPr>
      <w:sz w:val="18"/>
    </w:rPr>
  </w:style>
  <w:style w:type="paragraph" w:styleId="TM9">
    <w:name w:val="toc 9"/>
    <w:basedOn w:val="Normal"/>
    <w:next w:val="Normal"/>
    <w:uiPriority w:val="39"/>
    <w:rsid w:val="00062C03"/>
    <w:pPr>
      <w:tabs>
        <w:tab w:val="right" w:leader="dot" w:pos="9355"/>
      </w:tabs>
      <w:ind w:left="1680"/>
    </w:pPr>
    <w:rPr>
      <w:sz w:val="18"/>
    </w:rPr>
  </w:style>
  <w:style w:type="paragraph" w:styleId="Tabledesillustrations">
    <w:name w:val="table of figures"/>
    <w:basedOn w:val="Normal"/>
    <w:next w:val="Normal"/>
    <w:semiHidden/>
    <w:rsid w:val="00062C03"/>
    <w:pPr>
      <w:tabs>
        <w:tab w:val="right" w:leader="dot" w:pos="9355"/>
      </w:tabs>
      <w:ind w:left="480" w:hanging="480"/>
    </w:pPr>
    <w:rPr>
      <w:smallCaps/>
      <w:sz w:val="20"/>
    </w:rPr>
  </w:style>
  <w:style w:type="paragraph" w:styleId="Corpsdetexte2">
    <w:name w:val="Body Text 2"/>
    <w:basedOn w:val="Normal"/>
    <w:link w:val="Corpsdetexte2Car"/>
    <w:rsid w:val="00062C03"/>
    <w:pPr>
      <w:jc w:val="both"/>
    </w:pPr>
  </w:style>
  <w:style w:type="character" w:customStyle="1" w:styleId="Corpsdetexte2Car">
    <w:name w:val="Corps de texte 2 Car"/>
    <w:basedOn w:val="Policepardfaut"/>
    <w:link w:val="Corpsdetexte2"/>
    <w:rsid w:val="00062C03"/>
    <w:rPr>
      <w:rFonts w:ascii="Times New Roman" w:eastAsia="Times New Roman" w:hAnsi="Times New Roman" w:cs="Times New Roman"/>
      <w:spacing w:val="-3"/>
      <w:sz w:val="24"/>
      <w:szCs w:val="20"/>
      <w:lang w:val="fr-FR"/>
    </w:rPr>
  </w:style>
  <w:style w:type="paragraph" w:styleId="Retraitcorpsdetexte">
    <w:name w:val="Body Text Indent"/>
    <w:basedOn w:val="Normal"/>
    <w:link w:val="RetraitcorpsdetexteCar"/>
    <w:semiHidden/>
    <w:rsid w:val="00062C03"/>
    <w:pPr>
      <w:tabs>
        <w:tab w:val="left" w:pos="2127"/>
      </w:tabs>
      <w:spacing w:line="360" w:lineRule="auto"/>
      <w:ind w:left="2835" w:hanging="2835"/>
      <w:jc w:val="both"/>
    </w:pPr>
  </w:style>
  <w:style w:type="character" w:customStyle="1" w:styleId="RetraitcorpsdetexteCar">
    <w:name w:val="Retrait corps de texte Car"/>
    <w:basedOn w:val="Policepardfaut"/>
    <w:link w:val="Retraitcorpsdetexte"/>
    <w:semiHidden/>
    <w:rsid w:val="00062C03"/>
    <w:rPr>
      <w:rFonts w:ascii="Times New Roman" w:eastAsia="Times New Roman" w:hAnsi="Times New Roman" w:cs="Times New Roman"/>
      <w:spacing w:val="-3"/>
      <w:sz w:val="24"/>
      <w:szCs w:val="20"/>
      <w:lang w:val="fr-FR"/>
    </w:rPr>
  </w:style>
  <w:style w:type="paragraph" w:styleId="Retraitcorpsdetexte2">
    <w:name w:val="Body Text Indent 2"/>
    <w:basedOn w:val="Normal"/>
    <w:link w:val="Retraitcorpsdetexte2Car"/>
    <w:semiHidden/>
    <w:rsid w:val="00062C03"/>
    <w:pPr>
      <w:ind w:left="142" w:hanging="142"/>
      <w:jc w:val="both"/>
    </w:pPr>
    <w:rPr>
      <w:i/>
      <w:sz w:val="20"/>
    </w:rPr>
  </w:style>
  <w:style w:type="character" w:customStyle="1" w:styleId="Retraitcorpsdetexte2Car">
    <w:name w:val="Retrait corps de texte 2 Car"/>
    <w:basedOn w:val="Policepardfaut"/>
    <w:link w:val="Retraitcorpsdetexte2"/>
    <w:semiHidden/>
    <w:rsid w:val="00062C03"/>
    <w:rPr>
      <w:rFonts w:ascii="Times New Roman" w:eastAsia="Times New Roman" w:hAnsi="Times New Roman" w:cs="Times New Roman"/>
      <w:i/>
      <w:spacing w:val="-3"/>
      <w:sz w:val="20"/>
      <w:szCs w:val="20"/>
      <w:lang w:val="fr-FR"/>
    </w:rPr>
  </w:style>
  <w:style w:type="paragraph" w:styleId="Retraitcorpsdetexte3">
    <w:name w:val="Body Text Indent 3"/>
    <w:basedOn w:val="Normal"/>
    <w:link w:val="Retraitcorpsdetexte3Car"/>
    <w:semiHidden/>
    <w:rsid w:val="00062C03"/>
    <w:pPr>
      <w:ind w:left="217" w:hanging="217"/>
      <w:jc w:val="both"/>
    </w:pPr>
    <w:rPr>
      <w:sz w:val="20"/>
    </w:rPr>
  </w:style>
  <w:style w:type="character" w:customStyle="1" w:styleId="Retraitcorpsdetexte3Car">
    <w:name w:val="Retrait corps de texte 3 Car"/>
    <w:basedOn w:val="Policepardfaut"/>
    <w:link w:val="Retraitcorpsdetexte3"/>
    <w:semiHidden/>
    <w:rsid w:val="00062C03"/>
    <w:rPr>
      <w:rFonts w:ascii="Times New Roman" w:eastAsia="Times New Roman" w:hAnsi="Times New Roman" w:cs="Times New Roman"/>
      <w:spacing w:val="-3"/>
      <w:sz w:val="20"/>
      <w:szCs w:val="20"/>
      <w:lang w:val="fr-FR"/>
    </w:rPr>
  </w:style>
  <w:style w:type="paragraph" w:styleId="Corpsdetexte3">
    <w:name w:val="Body Text 3"/>
    <w:basedOn w:val="Normal"/>
    <w:link w:val="Corpsdetexte3Car"/>
    <w:semiHidden/>
    <w:rsid w:val="00062C03"/>
    <w:pPr>
      <w:jc w:val="both"/>
    </w:pPr>
    <w:rPr>
      <w:i/>
      <w:sz w:val="20"/>
    </w:rPr>
  </w:style>
  <w:style w:type="character" w:customStyle="1" w:styleId="Corpsdetexte3Car">
    <w:name w:val="Corps de texte 3 Car"/>
    <w:basedOn w:val="Policepardfaut"/>
    <w:link w:val="Corpsdetexte3"/>
    <w:semiHidden/>
    <w:rsid w:val="00062C03"/>
    <w:rPr>
      <w:rFonts w:ascii="Times New Roman" w:eastAsia="Times New Roman" w:hAnsi="Times New Roman" w:cs="Times New Roman"/>
      <w:i/>
      <w:spacing w:val="-3"/>
      <w:sz w:val="20"/>
      <w:szCs w:val="20"/>
      <w:lang w:val="fr-FR"/>
    </w:rPr>
  </w:style>
  <w:style w:type="paragraph" w:styleId="Explorateurdedocuments">
    <w:name w:val="Document Map"/>
    <w:basedOn w:val="Normal"/>
    <w:link w:val="ExplorateurdedocumentsCar"/>
    <w:semiHidden/>
    <w:rsid w:val="00062C03"/>
    <w:pPr>
      <w:shd w:val="clear" w:color="auto" w:fill="000080"/>
    </w:pPr>
    <w:rPr>
      <w:rFonts w:ascii="Tahoma" w:hAnsi="Tahoma"/>
    </w:rPr>
  </w:style>
  <w:style w:type="character" w:customStyle="1" w:styleId="ExplorateurdedocumentsCar">
    <w:name w:val="Explorateur de documents Car"/>
    <w:basedOn w:val="Policepardfaut"/>
    <w:link w:val="Explorateurdedocuments"/>
    <w:semiHidden/>
    <w:rsid w:val="00062C03"/>
    <w:rPr>
      <w:rFonts w:ascii="Tahoma" w:eastAsia="Times New Roman" w:hAnsi="Tahoma" w:cs="Times New Roman"/>
      <w:spacing w:val="-3"/>
      <w:sz w:val="24"/>
      <w:szCs w:val="20"/>
      <w:shd w:val="clear" w:color="auto" w:fill="000080"/>
      <w:lang w:val="fr-FR"/>
    </w:rPr>
  </w:style>
  <w:style w:type="paragraph" w:styleId="Notedefin">
    <w:name w:val="endnote text"/>
    <w:basedOn w:val="Normal"/>
    <w:link w:val="NotedefinCar"/>
    <w:semiHidden/>
    <w:rsid w:val="00062C03"/>
    <w:rPr>
      <w:sz w:val="20"/>
    </w:rPr>
  </w:style>
  <w:style w:type="character" w:customStyle="1" w:styleId="NotedefinCar">
    <w:name w:val="Note de fin Car"/>
    <w:basedOn w:val="Policepardfaut"/>
    <w:link w:val="Notedefin"/>
    <w:semiHidden/>
    <w:rsid w:val="00062C03"/>
    <w:rPr>
      <w:rFonts w:ascii="Times New Roman" w:eastAsia="Times New Roman" w:hAnsi="Times New Roman" w:cs="Times New Roman"/>
      <w:spacing w:val="-3"/>
      <w:sz w:val="20"/>
      <w:szCs w:val="20"/>
      <w:lang w:val="fr-FR"/>
    </w:rPr>
  </w:style>
  <w:style w:type="character" w:styleId="Appeldenotedefin">
    <w:name w:val="endnote reference"/>
    <w:semiHidden/>
    <w:rsid w:val="00062C03"/>
    <w:rPr>
      <w:vertAlign w:val="superscript"/>
    </w:rPr>
  </w:style>
  <w:style w:type="paragraph" w:styleId="Textedebulles">
    <w:name w:val="Balloon Text"/>
    <w:basedOn w:val="Normal"/>
    <w:link w:val="TextedebullesCar"/>
    <w:semiHidden/>
    <w:rsid w:val="00062C03"/>
    <w:pPr>
      <w:spacing w:after="120" w:line="360" w:lineRule="auto"/>
      <w:jc w:val="both"/>
    </w:pPr>
    <w:rPr>
      <w:rFonts w:ascii="Tahoma" w:hAnsi="Tahoma" w:cs="Tahoma"/>
      <w:spacing w:val="0"/>
      <w:sz w:val="16"/>
      <w:szCs w:val="16"/>
    </w:rPr>
  </w:style>
  <w:style w:type="character" w:customStyle="1" w:styleId="TextedebullesCar">
    <w:name w:val="Texte de bulles Car"/>
    <w:basedOn w:val="Policepardfaut"/>
    <w:link w:val="Textedebulles"/>
    <w:semiHidden/>
    <w:rsid w:val="00062C03"/>
    <w:rPr>
      <w:rFonts w:ascii="Tahoma" w:eastAsia="Times New Roman" w:hAnsi="Tahoma" w:cs="Tahoma"/>
      <w:sz w:val="16"/>
      <w:szCs w:val="16"/>
    </w:rPr>
  </w:style>
  <w:style w:type="character" w:styleId="Lienhypertexte">
    <w:name w:val="Hyperlink"/>
    <w:uiPriority w:val="99"/>
    <w:rsid w:val="00062C03"/>
    <w:rPr>
      <w:color w:val="0000FF"/>
      <w:u w:val="single"/>
    </w:rPr>
  </w:style>
  <w:style w:type="paragraph" w:customStyle="1" w:styleId="StyleTitre6Verdana">
    <w:name w:val="Style Titre 6 + Verdana"/>
    <w:basedOn w:val="Titre6"/>
    <w:rsid w:val="00062C03"/>
    <w:rPr>
      <w:rFonts w:ascii="Verdana" w:hAnsi="Verdana"/>
      <w:b/>
      <w:sz w:val="24"/>
    </w:rPr>
  </w:style>
  <w:style w:type="table" w:styleId="Grilledutableau">
    <w:name w:val="Table Grid"/>
    <w:basedOn w:val="TableauNormal"/>
    <w:rsid w:val="00062C03"/>
    <w:pPr>
      <w:spacing w:after="120" w:line="360" w:lineRule="auto"/>
      <w:jc w:val="both"/>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tedebasdepage"/>
    <w:rsid w:val="00062C03"/>
    <w:pPr>
      <w:overflowPunct w:val="0"/>
      <w:autoSpaceDE w:val="0"/>
      <w:autoSpaceDN w:val="0"/>
      <w:adjustRightInd w:val="0"/>
      <w:textAlignment w:val="baseline"/>
    </w:pPr>
    <w:rPr>
      <w:spacing w:val="-3"/>
      <w:lang w:val="fr-BE"/>
    </w:rPr>
  </w:style>
  <w:style w:type="paragraph" w:customStyle="1" w:styleId="CarCarCarCarCarCarCarCarCarCarCarCarCarCarCarCarCar1CarCarCarCarCarCarCarCarCarCarCarCarCar">
    <w:name w:val="Car Car Car Car Car Car Car Car Car Car Car Car Car Car Car Car Car1 Car Car Car Car Car Car Car Car Car Car Car Car Car"/>
    <w:basedOn w:val="Normal"/>
    <w:rsid w:val="00062C03"/>
    <w:pPr>
      <w:spacing w:after="160" w:line="240" w:lineRule="exact"/>
    </w:pPr>
    <w:rPr>
      <w:rFonts w:ascii="Tahoma" w:hAnsi="Tahoma"/>
      <w:spacing w:val="0"/>
      <w:sz w:val="20"/>
      <w:lang w:val="en-US"/>
    </w:rPr>
  </w:style>
  <w:style w:type="paragraph" w:styleId="NormalWeb">
    <w:name w:val="Normal (Web)"/>
    <w:basedOn w:val="Normal"/>
    <w:uiPriority w:val="99"/>
    <w:rsid w:val="00062C03"/>
    <w:pPr>
      <w:spacing w:before="100" w:beforeAutospacing="1" w:after="100" w:afterAutospacing="1" w:line="260" w:lineRule="atLeast"/>
      <w:jc w:val="both"/>
    </w:pPr>
    <w:rPr>
      <w:rFonts w:eastAsia="MS Mincho"/>
      <w:color w:val="323232"/>
      <w:spacing w:val="0"/>
      <w:sz w:val="20"/>
      <w:lang w:val="en-US"/>
    </w:rPr>
  </w:style>
  <w:style w:type="paragraph" w:styleId="Commentaire">
    <w:name w:val="annotation text"/>
    <w:basedOn w:val="Normal"/>
    <w:link w:val="CommentaireCar"/>
    <w:semiHidden/>
    <w:rsid w:val="00062C03"/>
    <w:pPr>
      <w:spacing w:after="120" w:line="360" w:lineRule="auto"/>
      <w:jc w:val="both"/>
    </w:pPr>
    <w:rPr>
      <w:rFonts w:eastAsia="MS Mincho"/>
      <w:spacing w:val="0"/>
      <w:sz w:val="20"/>
      <w:lang w:bidi="he-IL"/>
    </w:rPr>
  </w:style>
  <w:style w:type="character" w:customStyle="1" w:styleId="CommentaireCar">
    <w:name w:val="Commentaire Car"/>
    <w:basedOn w:val="Policepardfaut"/>
    <w:link w:val="Commentaire"/>
    <w:semiHidden/>
    <w:rsid w:val="00062C03"/>
    <w:rPr>
      <w:rFonts w:ascii="Times New Roman" w:eastAsia="MS Mincho" w:hAnsi="Times New Roman" w:cs="Times New Roman"/>
      <w:sz w:val="20"/>
      <w:szCs w:val="20"/>
      <w:lang w:bidi="he-IL"/>
    </w:rPr>
  </w:style>
  <w:style w:type="paragraph" w:customStyle="1" w:styleId="NotesGeo">
    <w:name w:val="Notes/Geo"/>
    <w:rsid w:val="00062C03"/>
    <w:pPr>
      <w:widowControl w:val="0"/>
      <w:autoSpaceDE w:val="0"/>
      <w:autoSpaceDN w:val="0"/>
      <w:adjustRightInd w:val="0"/>
      <w:spacing w:after="0" w:line="220" w:lineRule="atLeast"/>
      <w:ind w:firstLine="340"/>
      <w:jc w:val="both"/>
    </w:pPr>
    <w:rPr>
      <w:rFonts w:ascii="Times" w:eastAsia="Times New Roman" w:hAnsi="Times" w:cs="Times"/>
      <w:sz w:val="18"/>
      <w:szCs w:val="18"/>
      <w:lang w:val="fr-FR" w:eastAsia="ko-KR"/>
    </w:rPr>
  </w:style>
  <w:style w:type="paragraph" w:customStyle="1" w:styleId="TexteGeo">
    <w:name w:val="Texte/Geo"/>
    <w:rsid w:val="00062C03"/>
    <w:pPr>
      <w:widowControl w:val="0"/>
      <w:autoSpaceDE w:val="0"/>
      <w:autoSpaceDN w:val="0"/>
      <w:adjustRightInd w:val="0"/>
      <w:spacing w:after="0" w:line="260" w:lineRule="atLeast"/>
      <w:ind w:firstLine="340"/>
      <w:jc w:val="both"/>
    </w:pPr>
    <w:rPr>
      <w:rFonts w:ascii="Times" w:eastAsia="Times New Roman" w:hAnsi="Times" w:cs="Times"/>
      <w:color w:val="000000"/>
      <w:lang w:val="fr-FR" w:eastAsia="ko-KR"/>
    </w:rPr>
  </w:style>
  <w:style w:type="character" w:styleId="Marquedecommentaire">
    <w:name w:val="annotation reference"/>
    <w:rsid w:val="00062C03"/>
    <w:rPr>
      <w:sz w:val="16"/>
      <w:szCs w:val="16"/>
    </w:rPr>
  </w:style>
  <w:style w:type="paragraph" w:styleId="Objetducommentaire">
    <w:name w:val="annotation subject"/>
    <w:basedOn w:val="Commentaire"/>
    <w:next w:val="Commentaire"/>
    <w:link w:val="ObjetducommentaireCar"/>
    <w:rsid w:val="00062C03"/>
    <w:pPr>
      <w:spacing w:after="0" w:line="240" w:lineRule="auto"/>
      <w:jc w:val="left"/>
    </w:pPr>
    <w:rPr>
      <w:rFonts w:eastAsia="Times New Roman"/>
      <w:b/>
      <w:bCs/>
      <w:spacing w:val="-3"/>
      <w:lang w:val="fr-FR"/>
    </w:rPr>
  </w:style>
  <w:style w:type="character" w:customStyle="1" w:styleId="ObjetducommentaireCar">
    <w:name w:val="Objet du commentaire Car"/>
    <w:basedOn w:val="CommentaireCar"/>
    <w:link w:val="Objetducommentaire"/>
    <w:rsid w:val="00062C03"/>
    <w:rPr>
      <w:rFonts w:ascii="Times New Roman" w:eastAsia="Times New Roman" w:hAnsi="Times New Roman" w:cs="Times New Roman"/>
      <w:b/>
      <w:bCs/>
      <w:spacing w:val="-3"/>
      <w:sz w:val="20"/>
      <w:szCs w:val="20"/>
      <w:lang w:val="fr-FR" w:bidi="he-IL"/>
    </w:rPr>
  </w:style>
  <w:style w:type="paragraph" w:customStyle="1" w:styleId="Textecorps">
    <w:name w:val="Texte corps"/>
    <w:basedOn w:val="Normal"/>
    <w:rsid w:val="00062C03"/>
    <w:pPr>
      <w:spacing w:after="100" w:line="312" w:lineRule="auto"/>
      <w:ind w:firstLine="709"/>
      <w:jc w:val="both"/>
    </w:pPr>
    <w:rPr>
      <w:spacing w:val="0"/>
      <w:szCs w:val="24"/>
      <w:lang w:eastAsia="fr-FR"/>
    </w:rPr>
  </w:style>
  <w:style w:type="paragraph" w:customStyle="1" w:styleId="Texte">
    <w:name w:val="Texte"/>
    <w:basedOn w:val="Normal"/>
    <w:rsid w:val="00062C03"/>
    <w:pPr>
      <w:spacing w:line="360" w:lineRule="auto"/>
      <w:jc w:val="both"/>
    </w:pPr>
    <w:rPr>
      <w:spacing w:val="0"/>
    </w:rPr>
  </w:style>
  <w:style w:type="paragraph" w:customStyle="1" w:styleId="StyleTitre3Avant1cm">
    <w:name w:val="Style Titre 3 + Avant : 1 cm"/>
    <w:basedOn w:val="Titre3"/>
    <w:rsid w:val="00062C03"/>
    <w:pPr>
      <w:numPr>
        <w:ilvl w:val="0"/>
        <w:numId w:val="0"/>
      </w:numPr>
      <w:tabs>
        <w:tab w:val="num" w:pos="1800"/>
      </w:tabs>
      <w:ind w:left="1440"/>
    </w:pPr>
    <w:rPr>
      <w:bCs/>
      <w:szCs w:val="24"/>
      <w:lang w:eastAsia="ko-KR"/>
    </w:rPr>
  </w:style>
  <w:style w:type="paragraph" w:customStyle="1" w:styleId="texteretrait">
    <w:name w:val="texte retrait"/>
    <w:basedOn w:val="texte0"/>
    <w:rsid w:val="00062C03"/>
    <w:pPr>
      <w:spacing w:after="0"/>
      <w:ind w:left="284" w:hanging="284"/>
    </w:pPr>
  </w:style>
  <w:style w:type="paragraph" w:customStyle="1" w:styleId="texte0">
    <w:name w:val="texte"/>
    <w:basedOn w:val="Normal"/>
    <w:link w:val="texteCar"/>
    <w:rsid w:val="00062C03"/>
    <w:pPr>
      <w:autoSpaceDE w:val="0"/>
      <w:autoSpaceDN w:val="0"/>
      <w:spacing w:after="120" w:line="260" w:lineRule="exact"/>
      <w:jc w:val="both"/>
    </w:pPr>
    <w:rPr>
      <w:rFonts w:ascii="Minion" w:hAnsi="Minion"/>
      <w:spacing w:val="0"/>
      <w:sz w:val="22"/>
      <w:szCs w:val="24"/>
    </w:rPr>
  </w:style>
  <w:style w:type="paragraph" w:customStyle="1" w:styleId="Default">
    <w:name w:val="Default"/>
    <w:rsid w:val="00062C03"/>
    <w:pPr>
      <w:autoSpaceDE w:val="0"/>
      <w:autoSpaceDN w:val="0"/>
      <w:adjustRightInd w:val="0"/>
      <w:spacing w:after="0" w:line="240" w:lineRule="auto"/>
    </w:pPr>
    <w:rPr>
      <w:rFonts w:ascii="Arial" w:eastAsia="Times New Roman" w:hAnsi="Arial" w:cs="Arial"/>
      <w:color w:val="000000"/>
      <w:sz w:val="24"/>
      <w:szCs w:val="24"/>
      <w:lang w:val="fr-FR" w:eastAsia="fr-FR"/>
    </w:rPr>
  </w:style>
  <w:style w:type="character" w:customStyle="1" w:styleId="booktitle1">
    <w:name w:val="booktitle1"/>
    <w:rsid w:val="00062C03"/>
    <w:rPr>
      <w:rFonts w:ascii="Verdana" w:hAnsi="Verdana" w:hint="default"/>
      <w:b/>
      <w:bCs/>
      <w:color w:val="333333"/>
      <w:sz w:val="13"/>
      <w:szCs w:val="13"/>
    </w:rPr>
  </w:style>
  <w:style w:type="paragraph" w:styleId="Titre">
    <w:name w:val="Title"/>
    <w:basedOn w:val="Normal"/>
    <w:next w:val="Normal"/>
    <w:link w:val="TitreCar"/>
    <w:qFormat/>
    <w:rsid w:val="00062C03"/>
    <w:pPr>
      <w:spacing w:before="240" w:after="60"/>
      <w:jc w:val="center"/>
      <w:outlineLvl w:val="0"/>
    </w:pPr>
    <w:rPr>
      <w:rFonts w:ascii="Cambria" w:hAnsi="Cambria"/>
      <w:b/>
      <w:bCs/>
      <w:kern w:val="28"/>
      <w:sz w:val="32"/>
      <w:szCs w:val="32"/>
      <w:lang w:bidi="he-IL"/>
    </w:rPr>
  </w:style>
  <w:style w:type="character" w:customStyle="1" w:styleId="TitreCar">
    <w:name w:val="Titre Car"/>
    <w:basedOn w:val="Policepardfaut"/>
    <w:link w:val="Titre"/>
    <w:rsid w:val="00062C03"/>
    <w:rPr>
      <w:rFonts w:ascii="Cambria" w:eastAsia="Times New Roman" w:hAnsi="Cambria" w:cs="Times New Roman"/>
      <w:b/>
      <w:bCs/>
      <w:spacing w:val="-3"/>
      <w:kern w:val="28"/>
      <w:sz w:val="32"/>
      <w:szCs w:val="32"/>
      <w:lang w:val="fr-FR" w:bidi="he-IL"/>
    </w:rPr>
  </w:style>
  <w:style w:type="character" w:styleId="lev">
    <w:name w:val="Strong"/>
    <w:uiPriority w:val="22"/>
    <w:qFormat/>
    <w:rsid w:val="00062C03"/>
    <w:rPr>
      <w:b/>
      <w:bCs/>
    </w:rPr>
  </w:style>
  <w:style w:type="character" w:customStyle="1" w:styleId="A18">
    <w:name w:val="A18"/>
    <w:uiPriority w:val="99"/>
    <w:rsid w:val="00062C03"/>
    <w:rPr>
      <w:rFonts w:cs="Optima"/>
      <w:color w:val="000000"/>
      <w:sz w:val="11"/>
      <w:szCs w:val="11"/>
    </w:rPr>
  </w:style>
  <w:style w:type="character" w:customStyle="1" w:styleId="A15">
    <w:name w:val="A15"/>
    <w:uiPriority w:val="99"/>
    <w:rsid w:val="00062C03"/>
    <w:rPr>
      <w:rFonts w:ascii="Times New Roman" w:hAnsi="Times New Roman"/>
      <w:color w:val="000000"/>
      <w:sz w:val="14"/>
      <w:szCs w:val="14"/>
    </w:rPr>
  </w:style>
  <w:style w:type="paragraph" w:styleId="Paragraphedeliste">
    <w:name w:val="List Paragraph"/>
    <w:basedOn w:val="Normal"/>
    <w:link w:val="ParagraphedelisteCar"/>
    <w:uiPriority w:val="34"/>
    <w:qFormat/>
    <w:rsid w:val="00B0627C"/>
    <w:pPr>
      <w:ind w:left="720"/>
      <w:contextualSpacing/>
    </w:pPr>
  </w:style>
  <w:style w:type="paragraph" w:customStyle="1" w:styleId="note">
    <w:name w:val="note"/>
    <w:basedOn w:val="texte0"/>
    <w:rsid w:val="009E5FE2"/>
    <w:pPr>
      <w:tabs>
        <w:tab w:val="left" w:pos="284"/>
      </w:tabs>
      <w:spacing w:after="0" w:line="200" w:lineRule="exact"/>
      <w:ind w:left="284" w:hanging="284"/>
    </w:pPr>
    <w:rPr>
      <w:sz w:val="18"/>
    </w:rPr>
  </w:style>
  <w:style w:type="character" w:customStyle="1" w:styleId="texteCar">
    <w:name w:val="texte Car"/>
    <w:link w:val="texte0"/>
    <w:locked/>
    <w:rsid w:val="009E5FE2"/>
    <w:rPr>
      <w:rFonts w:ascii="Minion" w:eastAsia="Times New Roman" w:hAnsi="Minion" w:cs="Times New Roman"/>
      <w:szCs w:val="24"/>
      <w:lang w:val="fr-FR"/>
    </w:rPr>
  </w:style>
  <w:style w:type="character" w:styleId="Mentionnonrsolue">
    <w:name w:val="Unresolved Mention"/>
    <w:basedOn w:val="Policepardfaut"/>
    <w:uiPriority w:val="99"/>
    <w:semiHidden/>
    <w:unhideWhenUsed/>
    <w:rsid w:val="00504E8D"/>
    <w:rPr>
      <w:color w:val="605E5C"/>
      <w:shd w:val="clear" w:color="auto" w:fill="E1DFDD"/>
    </w:rPr>
  </w:style>
  <w:style w:type="paragraph" w:customStyle="1" w:styleId="rtejustify">
    <w:name w:val="rtejustify"/>
    <w:basedOn w:val="Normal"/>
    <w:rsid w:val="00131EE1"/>
    <w:pPr>
      <w:spacing w:before="100" w:beforeAutospacing="1" w:after="100" w:afterAutospacing="1"/>
    </w:pPr>
    <w:rPr>
      <w:spacing w:val="0"/>
      <w:szCs w:val="24"/>
      <w:lang w:eastAsia="fr-BE"/>
    </w:rPr>
  </w:style>
  <w:style w:type="character" w:customStyle="1" w:styleId="ParagraphedelisteCar">
    <w:name w:val="Paragraphe de liste Car"/>
    <w:link w:val="Paragraphedeliste"/>
    <w:uiPriority w:val="34"/>
    <w:rsid w:val="00B01A24"/>
    <w:rPr>
      <w:rFonts w:ascii="Times New Roman" w:eastAsia="Times New Roman" w:hAnsi="Times New Roman" w:cs="Times New Roman"/>
      <w:spacing w:val="-3"/>
      <w:sz w:val="24"/>
      <w:szCs w:val="20"/>
    </w:rPr>
  </w:style>
  <w:style w:type="character" w:customStyle="1" w:styleId="auteur">
    <w:name w:val="auteur"/>
    <w:basedOn w:val="Policepardfaut"/>
    <w:rsid w:val="00E834AE"/>
  </w:style>
  <w:style w:type="character" w:customStyle="1" w:styleId="in-revue">
    <w:name w:val="in-revue"/>
    <w:basedOn w:val="Policepardfaut"/>
    <w:rsid w:val="00E834AE"/>
  </w:style>
  <w:style w:type="character" w:customStyle="1" w:styleId="titre-revue">
    <w:name w:val="titre-revue"/>
    <w:basedOn w:val="Policepardfaut"/>
    <w:rsid w:val="00E834AE"/>
  </w:style>
  <w:style w:type="character" w:customStyle="1" w:styleId="no">
    <w:name w:val="no"/>
    <w:basedOn w:val="Policepardfaut"/>
    <w:rsid w:val="003071DE"/>
  </w:style>
  <w:style w:type="paragraph" w:customStyle="1" w:styleId="para">
    <w:name w:val="para"/>
    <w:basedOn w:val="Normal"/>
    <w:rsid w:val="00052826"/>
    <w:pPr>
      <w:spacing w:before="100" w:beforeAutospacing="1" w:after="100" w:afterAutospacing="1"/>
    </w:pPr>
    <w:rPr>
      <w:spacing w:val="0"/>
      <w:szCs w:val="24"/>
      <w:lang w:eastAsia="fr-BE"/>
    </w:rPr>
  </w:style>
  <w:style w:type="paragraph" w:customStyle="1" w:styleId="elemliste">
    <w:name w:val="elemliste"/>
    <w:basedOn w:val="Normal"/>
    <w:rsid w:val="00052826"/>
    <w:pPr>
      <w:spacing w:before="100" w:beforeAutospacing="1" w:after="100" w:afterAutospacing="1"/>
    </w:pPr>
    <w:rPr>
      <w:spacing w:val="0"/>
      <w:szCs w:val="24"/>
      <w:lang w:eastAsia="fr-BE"/>
    </w:rPr>
  </w:style>
  <w:style w:type="paragraph" w:styleId="Rvision">
    <w:name w:val="Revision"/>
    <w:hidden/>
    <w:uiPriority w:val="99"/>
    <w:semiHidden/>
    <w:rsid w:val="00CB0D75"/>
    <w:pPr>
      <w:spacing w:after="0" w:line="240" w:lineRule="auto"/>
    </w:pPr>
    <w:rPr>
      <w:rFonts w:ascii="Times New Roman" w:eastAsia="Times New Roman" w:hAnsi="Times New Roman" w:cs="Times New Roman"/>
      <w:spacing w:val="-3"/>
      <w:sz w:val="24"/>
      <w:szCs w:val="20"/>
    </w:rPr>
  </w:style>
  <w:style w:type="paragraph" w:customStyle="1" w:styleId="titre-article">
    <w:name w:val="titre-article"/>
    <w:basedOn w:val="Normal"/>
    <w:rsid w:val="004618C0"/>
    <w:pPr>
      <w:spacing w:before="100" w:beforeAutospacing="1" w:after="100" w:afterAutospacing="1"/>
    </w:pPr>
    <w:rPr>
      <w:spacing w:val="0"/>
      <w:szCs w:val="24"/>
      <w:lang w:eastAsia="fr-BE"/>
    </w:rPr>
  </w:style>
  <w:style w:type="paragraph" w:customStyle="1" w:styleId="sous-titre-article">
    <w:name w:val="sous-titre-article"/>
    <w:basedOn w:val="Normal"/>
    <w:rsid w:val="004618C0"/>
    <w:pPr>
      <w:spacing w:before="100" w:beforeAutospacing="1" w:after="100" w:afterAutospacing="1"/>
    </w:pPr>
    <w:rPr>
      <w:spacing w:val="0"/>
      <w:szCs w:val="24"/>
      <w:lang w:eastAsia="fr-BE"/>
    </w:rPr>
  </w:style>
  <w:style w:type="paragraph" w:customStyle="1" w:styleId="meta">
    <w:name w:val="meta"/>
    <w:basedOn w:val="Normal"/>
    <w:rsid w:val="004618C0"/>
    <w:pPr>
      <w:spacing w:before="100" w:beforeAutospacing="1" w:after="100" w:afterAutospacing="1"/>
    </w:pPr>
    <w:rPr>
      <w:spacing w:val="0"/>
      <w:szCs w:val="24"/>
      <w:lang w:eastAsia="fr-BE"/>
    </w:rPr>
  </w:style>
  <w:style w:type="paragraph" w:styleId="Sansinterligne">
    <w:name w:val="No Spacing"/>
    <w:link w:val="SansinterligneCar"/>
    <w:uiPriority w:val="1"/>
    <w:qFormat/>
    <w:rsid w:val="006B1D25"/>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6B1D25"/>
    <w:rPr>
      <w:rFonts w:eastAsiaTheme="minorEastAsia"/>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1241">
      <w:bodyDiv w:val="1"/>
      <w:marLeft w:val="0"/>
      <w:marRight w:val="0"/>
      <w:marTop w:val="0"/>
      <w:marBottom w:val="0"/>
      <w:divBdr>
        <w:top w:val="none" w:sz="0" w:space="0" w:color="auto"/>
        <w:left w:val="none" w:sz="0" w:space="0" w:color="auto"/>
        <w:bottom w:val="none" w:sz="0" w:space="0" w:color="auto"/>
        <w:right w:val="none" w:sz="0" w:space="0" w:color="auto"/>
      </w:divBdr>
      <w:divsChild>
        <w:div w:id="1686401088">
          <w:marLeft w:val="0"/>
          <w:marRight w:val="0"/>
          <w:marTop w:val="0"/>
          <w:marBottom w:val="0"/>
          <w:divBdr>
            <w:top w:val="none" w:sz="0" w:space="0" w:color="auto"/>
            <w:left w:val="none" w:sz="0" w:space="0" w:color="auto"/>
            <w:bottom w:val="none" w:sz="0" w:space="0" w:color="auto"/>
            <w:right w:val="none" w:sz="0" w:space="0" w:color="auto"/>
          </w:divBdr>
          <w:divsChild>
            <w:div w:id="58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8749">
      <w:bodyDiv w:val="1"/>
      <w:marLeft w:val="0"/>
      <w:marRight w:val="0"/>
      <w:marTop w:val="0"/>
      <w:marBottom w:val="0"/>
      <w:divBdr>
        <w:top w:val="none" w:sz="0" w:space="0" w:color="auto"/>
        <w:left w:val="none" w:sz="0" w:space="0" w:color="auto"/>
        <w:bottom w:val="none" w:sz="0" w:space="0" w:color="auto"/>
        <w:right w:val="none" w:sz="0" w:space="0" w:color="auto"/>
      </w:divBdr>
      <w:divsChild>
        <w:div w:id="1697972719">
          <w:marLeft w:val="446"/>
          <w:marRight w:val="0"/>
          <w:marTop w:val="0"/>
          <w:marBottom w:val="0"/>
          <w:divBdr>
            <w:top w:val="none" w:sz="0" w:space="0" w:color="auto"/>
            <w:left w:val="none" w:sz="0" w:space="0" w:color="auto"/>
            <w:bottom w:val="none" w:sz="0" w:space="0" w:color="auto"/>
            <w:right w:val="none" w:sz="0" w:space="0" w:color="auto"/>
          </w:divBdr>
        </w:div>
        <w:div w:id="328750590">
          <w:marLeft w:val="446"/>
          <w:marRight w:val="0"/>
          <w:marTop w:val="0"/>
          <w:marBottom w:val="0"/>
          <w:divBdr>
            <w:top w:val="none" w:sz="0" w:space="0" w:color="auto"/>
            <w:left w:val="none" w:sz="0" w:space="0" w:color="auto"/>
            <w:bottom w:val="none" w:sz="0" w:space="0" w:color="auto"/>
            <w:right w:val="none" w:sz="0" w:space="0" w:color="auto"/>
          </w:divBdr>
        </w:div>
      </w:divsChild>
    </w:div>
    <w:div w:id="300966221">
      <w:bodyDiv w:val="1"/>
      <w:marLeft w:val="0"/>
      <w:marRight w:val="0"/>
      <w:marTop w:val="0"/>
      <w:marBottom w:val="0"/>
      <w:divBdr>
        <w:top w:val="none" w:sz="0" w:space="0" w:color="auto"/>
        <w:left w:val="none" w:sz="0" w:space="0" w:color="auto"/>
        <w:bottom w:val="none" w:sz="0" w:space="0" w:color="auto"/>
        <w:right w:val="none" w:sz="0" w:space="0" w:color="auto"/>
      </w:divBdr>
    </w:div>
    <w:div w:id="329261766">
      <w:bodyDiv w:val="1"/>
      <w:marLeft w:val="0"/>
      <w:marRight w:val="0"/>
      <w:marTop w:val="0"/>
      <w:marBottom w:val="0"/>
      <w:divBdr>
        <w:top w:val="none" w:sz="0" w:space="0" w:color="auto"/>
        <w:left w:val="none" w:sz="0" w:space="0" w:color="auto"/>
        <w:bottom w:val="none" w:sz="0" w:space="0" w:color="auto"/>
        <w:right w:val="none" w:sz="0" w:space="0" w:color="auto"/>
      </w:divBdr>
    </w:div>
    <w:div w:id="343551523">
      <w:bodyDiv w:val="1"/>
      <w:marLeft w:val="0"/>
      <w:marRight w:val="0"/>
      <w:marTop w:val="0"/>
      <w:marBottom w:val="0"/>
      <w:divBdr>
        <w:top w:val="none" w:sz="0" w:space="0" w:color="auto"/>
        <w:left w:val="none" w:sz="0" w:space="0" w:color="auto"/>
        <w:bottom w:val="none" w:sz="0" w:space="0" w:color="auto"/>
        <w:right w:val="none" w:sz="0" w:space="0" w:color="auto"/>
      </w:divBdr>
    </w:div>
    <w:div w:id="518741174">
      <w:bodyDiv w:val="1"/>
      <w:marLeft w:val="0"/>
      <w:marRight w:val="0"/>
      <w:marTop w:val="0"/>
      <w:marBottom w:val="0"/>
      <w:divBdr>
        <w:top w:val="none" w:sz="0" w:space="0" w:color="auto"/>
        <w:left w:val="none" w:sz="0" w:space="0" w:color="auto"/>
        <w:bottom w:val="none" w:sz="0" w:space="0" w:color="auto"/>
        <w:right w:val="none" w:sz="0" w:space="0" w:color="auto"/>
      </w:divBdr>
    </w:div>
    <w:div w:id="544105478">
      <w:bodyDiv w:val="1"/>
      <w:marLeft w:val="0"/>
      <w:marRight w:val="0"/>
      <w:marTop w:val="0"/>
      <w:marBottom w:val="0"/>
      <w:divBdr>
        <w:top w:val="none" w:sz="0" w:space="0" w:color="auto"/>
        <w:left w:val="none" w:sz="0" w:space="0" w:color="auto"/>
        <w:bottom w:val="none" w:sz="0" w:space="0" w:color="auto"/>
        <w:right w:val="none" w:sz="0" w:space="0" w:color="auto"/>
      </w:divBdr>
    </w:div>
    <w:div w:id="901794179">
      <w:bodyDiv w:val="1"/>
      <w:marLeft w:val="0"/>
      <w:marRight w:val="0"/>
      <w:marTop w:val="0"/>
      <w:marBottom w:val="0"/>
      <w:divBdr>
        <w:top w:val="none" w:sz="0" w:space="0" w:color="auto"/>
        <w:left w:val="none" w:sz="0" w:space="0" w:color="auto"/>
        <w:bottom w:val="none" w:sz="0" w:space="0" w:color="auto"/>
        <w:right w:val="none" w:sz="0" w:space="0" w:color="auto"/>
      </w:divBdr>
    </w:div>
    <w:div w:id="1225608431">
      <w:bodyDiv w:val="1"/>
      <w:marLeft w:val="0"/>
      <w:marRight w:val="0"/>
      <w:marTop w:val="0"/>
      <w:marBottom w:val="0"/>
      <w:divBdr>
        <w:top w:val="none" w:sz="0" w:space="0" w:color="auto"/>
        <w:left w:val="none" w:sz="0" w:space="0" w:color="auto"/>
        <w:bottom w:val="none" w:sz="0" w:space="0" w:color="auto"/>
        <w:right w:val="none" w:sz="0" w:space="0" w:color="auto"/>
      </w:divBdr>
    </w:div>
    <w:div w:id="1317536428">
      <w:bodyDiv w:val="1"/>
      <w:marLeft w:val="0"/>
      <w:marRight w:val="0"/>
      <w:marTop w:val="0"/>
      <w:marBottom w:val="0"/>
      <w:divBdr>
        <w:top w:val="none" w:sz="0" w:space="0" w:color="auto"/>
        <w:left w:val="none" w:sz="0" w:space="0" w:color="auto"/>
        <w:bottom w:val="none" w:sz="0" w:space="0" w:color="auto"/>
        <w:right w:val="none" w:sz="0" w:space="0" w:color="auto"/>
      </w:divBdr>
      <w:divsChild>
        <w:div w:id="1800302698">
          <w:marLeft w:val="547"/>
          <w:marRight w:val="0"/>
          <w:marTop w:val="0"/>
          <w:marBottom w:val="0"/>
          <w:divBdr>
            <w:top w:val="none" w:sz="0" w:space="0" w:color="auto"/>
            <w:left w:val="none" w:sz="0" w:space="0" w:color="auto"/>
            <w:bottom w:val="none" w:sz="0" w:space="0" w:color="auto"/>
            <w:right w:val="none" w:sz="0" w:space="0" w:color="auto"/>
          </w:divBdr>
        </w:div>
        <w:div w:id="813303178">
          <w:marLeft w:val="547"/>
          <w:marRight w:val="0"/>
          <w:marTop w:val="0"/>
          <w:marBottom w:val="0"/>
          <w:divBdr>
            <w:top w:val="none" w:sz="0" w:space="0" w:color="auto"/>
            <w:left w:val="none" w:sz="0" w:space="0" w:color="auto"/>
            <w:bottom w:val="none" w:sz="0" w:space="0" w:color="auto"/>
            <w:right w:val="none" w:sz="0" w:space="0" w:color="auto"/>
          </w:divBdr>
        </w:div>
        <w:div w:id="2087653052">
          <w:marLeft w:val="547"/>
          <w:marRight w:val="0"/>
          <w:marTop w:val="0"/>
          <w:marBottom w:val="0"/>
          <w:divBdr>
            <w:top w:val="none" w:sz="0" w:space="0" w:color="auto"/>
            <w:left w:val="none" w:sz="0" w:space="0" w:color="auto"/>
            <w:bottom w:val="none" w:sz="0" w:space="0" w:color="auto"/>
            <w:right w:val="none" w:sz="0" w:space="0" w:color="auto"/>
          </w:divBdr>
        </w:div>
      </w:divsChild>
    </w:div>
    <w:div w:id="1448280812">
      <w:bodyDiv w:val="1"/>
      <w:marLeft w:val="0"/>
      <w:marRight w:val="0"/>
      <w:marTop w:val="0"/>
      <w:marBottom w:val="0"/>
      <w:divBdr>
        <w:top w:val="none" w:sz="0" w:space="0" w:color="auto"/>
        <w:left w:val="none" w:sz="0" w:space="0" w:color="auto"/>
        <w:bottom w:val="none" w:sz="0" w:space="0" w:color="auto"/>
        <w:right w:val="none" w:sz="0" w:space="0" w:color="auto"/>
      </w:divBdr>
    </w:div>
    <w:div w:id="1580212825">
      <w:bodyDiv w:val="1"/>
      <w:marLeft w:val="0"/>
      <w:marRight w:val="0"/>
      <w:marTop w:val="0"/>
      <w:marBottom w:val="0"/>
      <w:divBdr>
        <w:top w:val="none" w:sz="0" w:space="0" w:color="auto"/>
        <w:left w:val="none" w:sz="0" w:space="0" w:color="auto"/>
        <w:bottom w:val="none" w:sz="0" w:space="0" w:color="auto"/>
        <w:right w:val="none" w:sz="0" w:space="0" w:color="auto"/>
      </w:divBdr>
    </w:div>
    <w:div w:id="1679850203">
      <w:bodyDiv w:val="1"/>
      <w:marLeft w:val="0"/>
      <w:marRight w:val="0"/>
      <w:marTop w:val="0"/>
      <w:marBottom w:val="0"/>
      <w:divBdr>
        <w:top w:val="none" w:sz="0" w:space="0" w:color="auto"/>
        <w:left w:val="none" w:sz="0" w:space="0" w:color="auto"/>
        <w:bottom w:val="none" w:sz="0" w:space="0" w:color="auto"/>
        <w:right w:val="none" w:sz="0" w:space="0" w:color="auto"/>
      </w:divBdr>
    </w:div>
    <w:div w:id="1773894720">
      <w:bodyDiv w:val="1"/>
      <w:marLeft w:val="0"/>
      <w:marRight w:val="0"/>
      <w:marTop w:val="0"/>
      <w:marBottom w:val="0"/>
      <w:divBdr>
        <w:top w:val="none" w:sz="0" w:space="0" w:color="auto"/>
        <w:left w:val="none" w:sz="0" w:space="0" w:color="auto"/>
        <w:bottom w:val="none" w:sz="0" w:space="0" w:color="auto"/>
        <w:right w:val="none" w:sz="0" w:space="0" w:color="auto"/>
      </w:divBdr>
    </w:div>
    <w:div w:id="1810125795">
      <w:bodyDiv w:val="1"/>
      <w:marLeft w:val="0"/>
      <w:marRight w:val="0"/>
      <w:marTop w:val="0"/>
      <w:marBottom w:val="0"/>
      <w:divBdr>
        <w:top w:val="none" w:sz="0" w:space="0" w:color="auto"/>
        <w:left w:val="none" w:sz="0" w:space="0" w:color="auto"/>
        <w:bottom w:val="none" w:sz="0" w:space="0" w:color="auto"/>
        <w:right w:val="none" w:sz="0" w:space="0" w:color="auto"/>
      </w:divBdr>
      <w:divsChild>
        <w:div w:id="865362683">
          <w:marLeft w:val="547"/>
          <w:marRight w:val="0"/>
          <w:marTop w:val="0"/>
          <w:marBottom w:val="0"/>
          <w:divBdr>
            <w:top w:val="none" w:sz="0" w:space="0" w:color="auto"/>
            <w:left w:val="none" w:sz="0" w:space="0" w:color="auto"/>
            <w:bottom w:val="none" w:sz="0" w:space="0" w:color="auto"/>
            <w:right w:val="none" w:sz="0" w:space="0" w:color="auto"/>
          </w:divBdr>
        </w:div>
      </w:divsChild>
    </w:div>
    <w:div w:id="1999841059">
      <w:bodyDiv w:val="1"/>
      <w:marLeft w:val="0"/>
      <w:marRight w:val="0"/>
      <w:marTop w:val="0"/>
      <w:marBottom w:val="0"/>
      <w:divBdr>
        <w:top w:val="none" w:sz="0" w:space="0" w:color="auto"/>
        <w:left w:val="none" w:sz="0" w:space="0" w:color="auto"/>
        <w:bottom w:val="none" w:sz="0" w:space="0" w:color="auto"/>
        <w:right w:val="none" w:sz="0" w:space="0" w:color="auto"/>
      </w:divBdr>
      <w:divsChild>
        <w:div w:id="174000667">
          <w:marLeft w:val="446"/>
          <w:marRight w:val="0"/>
          <w:marTop w:val="0"/>
          <w:marBottom w:val="0"/>
          <w:divBdr>
            <w:top w:val="none" w:sz="0" w:space="0" w:color="auto"/>
            <w:left w:val="none" w:sz="0" w:space="0" w:color="auto"/>
            <w:bottom w:val="none" w:sz="0" w:space="0" w:color="auto"/>
            <w:right w:val="none" w:sz="0" w:space="0" w:color="auto"/>
          </w:divBdr>
        </w:div>
        <w:div w:id="12949455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lbea.ulb.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lbea.ulb.be"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irn.info/revue-courrier-hebdomadaire-du-crisp-2008-1.htm" TargetMode="External"/><Relationship Id="rId2" Type="http://schemas.openxmlformats.org/officeDocument/2006/relationships/hyperlink" Target="https://www.cairn.info/revue-courrier-hebdomadaire-du-crisp.htm" TargetMode="External"/><Relationship Id="rId1" Type="http://schemas.openxmlformats.org/officeDocument/2006/relationships/hyperlink" Target="https://www.cairn.info/publications-de-Caroline-S%C3%A4gesser--3295.htm" TargetMode="External"/><Relationship Id="rId4" Type="http://schemas.openxmlformats.org/officeDocument/2006/relationships/hyperlink" Target="https://docs.vlaamsparlement.be/docs/biblio/brochures/brochures%20te%20verwijderen/frans.pdf"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D123-3F41-4389-AC3C-98A66C3B0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11107</Words>
  <Characters>61090</Characters>
  <Application>Microsoft Office Word</Application>
  <DocSecurity>0</DocSecurity>
  <Lines>509</Lines>
  <Paragraphs>144</Paragraphs>
  <ScaleCrop>false</ScaleCrop>
  <HeadingPairs>
    <vt:vector size="2" baseType="variant">
      <vt:variant>
        <vt:lpstr>Titre</vt:lpstr>
      </vt:variant>
      <vt:variant>
        <vt:i4>1</vt:i4>
      </vt:variant>
    </vt:vector>
  </HeadingPairs>
  <TitlesOfParts>
    <vt:vector size="1" baseType="lpstr">
      <vt:lpstr/>
    </vt:vector>
  </TitlesOfParts>
  <Company>Professeur ULB</Company>
  <LinksUpToDate>false</LinksUpToDate>
  <CharactersWithSpaces>72053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Bayenet Benoit</dc:creator>
  <cp:keywords/>
  <dc:description/>
  <cp:lastModifiedBy>BAYENET  Benoit</cp:lastModifiedBy>
  <cp:revision>6</cp:revision>
  <cp:lastPrinted>2022-02-18T15:02:00Z</cp:lastPrinted>
  <dcterms:created xsi:type="dcterms:W3CDTF">2022-02-18T11:55:00Z</dcterms:created>
  <dcterms:modified xsi:type="dcterms:W3CDTF">2022-02-25T16:07:00Z</dcterms:modified>
</cp:coreProperties>
</file>